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E2" w:rsidRDefault="007565EB">
      <w:bookmarkStart w:id="0" w:name="_GoBack"/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69"/>
      </w:tblGrid>
      <w:tr w:rsidR="003B2923" w:rsidTr="00A56AE2">
        <w:trPr>
          <w:trHeight w:val="1878"/>
        </w:trPr>
        <w:tc>
          <w:tcPr>
            <w:tcW w:w="1809" w:type="dxa"/>
          </w:tcPr>
          <w:p w:rsidR="00A56AE2" w:rsidRDefault="007565EB" w:rsidP="00A56AE2">
            <w:pPr>
              <w:widowControl w:val="0"/>
              <w:spacing w:before="120"/>
              <w:jc w:val="center"/>
              <w:rPr>
                <w:rFonts w:cs="Times New Roman"/>
                <w:b/>
                <w:sz w:val="36"/>
                <w:szCs w:val="36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42461" cy="978195"/>
                  <wp:effectExtent l="0" t="0" r="63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720" cy="978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9" w:type="dxa"/>
          </w:tcPr>
          <w:p w:rsidR="00A56AE2" w:rsidRDefault="007565EB" w:rsidP="00A56AE2">
            <w:pPr>
              <w:widowControl w:val="0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A56AE2">
              <w:rPr>
                <w:rFonts w:cs="Times New Roman"/>
                <w:b/>
                <w:sz w:val="36"/>
                <w:szCs w:val="36"/>
              </w:rPr>
              <w:t>COMUNE DI CASTIGLIONE DEL LAGO</w:t>
            </w:r>
          </w:p>
          <w:p w:rsidR="00A56AE2" w:rsidRPr="00A56AE2" w:rsidRDefault="007565EB" w:rsidP="00A56AE2">
            <w:pPr>
              <w:widowControl w:val="0"/>
              <w:jc w:val="center"/>
              <w:rPr>
                <w:rFonts w:cs="Times New Roman"/>
                <w:b/>
                <w:sz w:val="36"/>
                <w:szCs w:val="36"/>
              </w:rPr>
            </w:pPr>
          </w:p>
          <w:p w:rsidR="00A56AE2" w:rsidRPr="00A56AE2" w:rsidRDefault="007565EB" w:rsidP="00A56AE2">
            <w:pPr>
              <w:widowControl w:val="0"/>
              <w:tabs>
                <w:tab w:val="center" w:pos="4320"/>
                <w:tab w:val="right" w:pos="8640"/>
              </w:tabs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A56AE2">
              <w:rPr>
                <w:rFonts w:cs="Times New Roman"/>
                <w:b/>
                <w:sz w:val="36"/>
                <w:szCs w:val="36"/>
              </w:rPr>
              <w:t>PROVINCIA DI PERUGIA</w:t>
            </w:r>
          </w:p>
          <w:p w:rsidR="00A56AE2" w:rsidRDefault="007565EB" w:rsidP="00A56AE2">
            <w:pPr>
              <w:rPr>
                <w:rFonts w:cs="Times New Roman"/>
                <w:b/>
                <w:sz w:val="36"/>
                <w:szCs w:val="36"/>
              </w:rPr>
            </w:pPr>
          </w:p>
        </w:tc>
      </w:tr>
    </w:tbl>
    <w:p w:rsidR="00E2400F" w:rsidRDefault="007565EB" w:rsidP="00E2400F">
      <w:pPr>
        <w:jc w:val="center"/>
        <w:rPr>
          <w:b/>
          <w:bCs/>
          <w:sz w:val="28"/>
          <w:szCs w:val="28"/>
        </w:rPr>
      </w:pPr>
      <w:bookmarkStart w:id="1" w:name="area"/>
      <w:r>
        <w:rPr>
          <w:b/>
          <w:bCs/>
          <w:sz w:val="28"/>
          <w:szCs w:val="28"/>
        </w:rPr>
        <w:t>Area Servizi Demografici e Istruzione</w:t>
      </w:r>
      <w:bookmarkEnd w:id="1"/>
    </w:p>
    <w:p w:rsidR="00E2400F" w:rsidRDefault="007565EB" w:rsidP="00E2400F">
      <w:pPr>
        <w:jc w:val="center"/>
        <w:rPr>
          <w:b/>
          <w:bCs/>
        </w:rPr>
      </w:pPr>
    </w:p>
    <w:p w:rsidR="00E2400F" w:rsidRDefault="007565EB" w:rsidP="00E2400F">
      <w:pPr>
        <w:jc w:val="center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</w:rPr>
        <w:t xml:space="preserve">Determinazione nr. </w:t>
      </w:r>
      <w:bookmarkStart w:id="2" w:name="numero"/>
      <w:r>
        <w:rPr>
          <w:b/>
          <w:bCs/>
          <w:sz w:val="28"/>
          <w:szCs w:val="28"/>
        </w:rPr>
        <w:t>198</w:t>
      </w:r>
      <w:bookmarkEnd w:id="2"/>
      <w:r>
        <w:rPr>
          <w:b/>
          <w:bCs/>
          <w:sz w:val="28"/>
          <w:szCs w:val="28"/>
        </w:rPr>
        <w:t xml:space="preserve"> d</w:t>
      </w:r>
      <w:r>
        <w:rPr>
          <w:b/>
          <w:bCs/>
          <w:sz w:val="28"/>
          <w:szCs w:val="28"/>
          <w:lang w:val="de-DE"/>
        </w:rPr>
        <w:t xml:space="preserve">el </w:t>
      </w:r>
      <w:bookmarkStart w:id="3" w:name="data"/>
      <w:r>
        <w:rPr>
          <w:b/>
          <w:bCs/>
          <w:sz w:val="28"/>
          <w:szCs w:val="28"/>
          <w:lang w:val="de-DE"/>
        </w:rPr>
        <w:t>16/03/2022</w:t>
      </w:r>
      <w:bookmarkEnd w:id="3"/>
      <w:r>
        <w:rPr>
          <w:b/>
          <w:bCs/>
          <w:sz w:val="28"/>
          <w:szCs w:val="28"/>
          <w:lang w:val="de-DE"/>
        </w:rPr>
        <w:t xml:space="preserve"> </w:t>
      </w:r>
    </w:p>
    <w:p w:rsidR="00E2400F" w:rsidRDefault="007565EB" w:rsidP="00E2400F">
      <w:pPr>
        <w:jc w:val="center"/>
        <w:rPr>
          <w:bCs/>
        </w:rPr>
      </w:pPr>
      <w:r w:rsidRPr="00E2400F">
        <w:rPr>
          <w:bCs/>
        </w:rPr>
        <w:t xml:space="preserve">Proposta nr. </w:t>
      </w:r>
      <w:bookmarkStart w:id="4" w:name="num_prop"/>
      <w:r w:rsidRPr="00E2400F">
        <w:rPr>
          <w:bCs/>
        </w:rPr>
        <w:t>201</w:t>
      </w:r>
      <w:bookmarkEnd w:id="4"/>
      <w:r w:rsidRPr="00E2400F">
        <w:rPr>
          <w:bCs/>
        </w:rPr>
        <w:t xml:space="preserve"> del </w:t>
      </w:r>
      <w:bookmarkStart w:id="5" w:name="data_prop"/>
      <w:r w:rsidRPr="00E2400F">
        <w:rPr>
          <w:bCs/>
        </w:rPr>
        <w:t>15/03/2022</w:t>
      </w:r>
      <w:bookmarkEnd w:id="5"/>
      <w:r w:rsidRPr="00E2400F">
        <w:rPr>
          <w:bCs/>
        </w:rPr>
        <w:t xml:space="preserve">  </w:t>
      </w:r>
    </w:p>
    <w:p w:rsidR="00E2400F" w:rsidRPr="00E2400F" w:rsidRDefault="007565EB" w:rsidP="00E2400F">
      <w:pPr>
        <w:jc w:val="center"/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B2923" w:rsidTr="00E2400F">
        <w:tc>
          <w:tcPr>
            <w:tcW w:w="9778" w:type="dxa"/>
          </w:tcPr>
          <w:p w:rsidR="00E2400F" w:rsidRPr="00E2400F" w:rsidRDefault="007565EB" w:rsidP="00B47347">
            <w:pPr>
              <w:jc w:val="both"/>
              <w:rPr>
                <w:b/>
                <w:bCs/>
              </w:rPr>
            </w:pPr>
            <w:r w:rsidRPr="00E2400F">
              <w:rPr>
                <w:b/>
                <w:bCs/>
              </w:rPr>
              <w:t>OGGETTO:</w:t>
            </w:r>
            <w:r w:rsidRPr="00E2400F">
              <w:rPr>
                <w:bCs/>
              </w:rPr>
              <w:t xml:space="preserve"> </w:t>
            </w:r>
            <w:bookmarkStart w:id="6" w:name="oggetto"/>
            <w:r w:rsidRPr="00E2400F">
              <w:rPr>
                <w:bCs/>
              </w:rPr>
              <w:t xml:space="preserve">AVVISO DI SELEZIONE PUBBLICA, PER SOLI TITOLI, PER LA FORMAZIONE DI UNA </w:t>
            </w:r>
            <w:r w:rsidRPr="00E2400F">
              <w:rPr>
                <w:bCs/>
              </w:rPr>
              <w:t>GRADUATORIA DI RILEVATORI PER INDAGINI STATISTICHE. APPROVAZIONE BANDO.</w:t>
            </w:r>
            <w:bookmarkEnd w:id="6"/>
            <w:r w:rsidRPr="00E2400F">
              <w:rPr>
                <w:bCs/>
              </w:rPr>
              <w:t xml:space="preserve"> </w:t>
            </w:r>
          </w:p>
        </w:tc>
      </w:tr>
    </w:tbl>
    <w:p w:rsidR="00A56AE2" w:rsidRDefault="007565EB" w:rsidP="00E2400F">
      <w:pPr>
        <w:widowControl w:val="0"/>
        <w:tabs>
          <w:tab w:val="center" w:pos="4320"/>
          <w:tab w:val="right" w:pos="8640"/>
        </w:tabs>
        <w:rPr>
          <w:rFonts w:cs="Times New Roman"/>
          <w:szCs w:val="36"/>
        </w:rPr>
      </w:pPr>
    </w:p>
    <w:p w:rsidR="00E2400F" w:rsidRDefault="007565EB" w:rsidP="00E2400F">
      <w:pPr>
        <w:widowControl w:val="0"/>
        <w:tabs>
          <w:tab w:val="center" w:pos="4320"/>
          <w:tab w:val="right" w:pos="8640"/>
        </w:tabs>
      </w:pPr>
      <w:r>
        <w:t xml:space="preserve">L’anno </w:t>
      </w:r>
      <w:bookmarkStart w:id="7" w:name="anno_lettere"/>
      <w:r>
        <w:t>duemilaventidue</w:t>
      </w:r>
      <w:bookmarkEnd w:id="7"/>
      <w:r>
        <w:t xml:space="preserve"> il giorno </w:t>
      </w:r>
      <w:bookmarkStart w:id="8" w:name="giorno_lettere"/>
      <w:r>
        <w:t>sedici</w:t>
      </w:r>
      <w:bookmarkEnd w:id="8"/>
      <w:r>
        <w:t xml:space="preserve"> del mese di </w:t>
      </w:r>
      <w:bookmarkStart w:id="9" w:name="mese_lettere"/>
      <w:r>
        <w:t>Marzo</w:t>
      </w:r>
      <w:bookmarkEnd w:id="9"/>
      <w:r>
        <w:t xml:space="preserve"> </w:t>
      </w:r>
    </w:p>
    <w:p w:rsidR="00E2400F" w:rsidRDefault="007565EB" w:rsidP="00E2400F">
      <w:pPr>
        <w:widowControl w:val="0"/>
        <w:tabs>
          <w:tab w:val="center" w:pos="4320"/>
          <w:tab w:val="right" w:pos="8640"/>
        </w:tabs>
      </w:pPr>
    </w:p>
    <w:p w:rsidR="00997F3A" w:rsidRDefault="007565EB" w:rsidP="00997F3A">
      <w:pPr>
        <w:widowControl w:val="0"/>
        <w:tabs>
          <w:tab w:val="center" w:pos="4320"/>
          <w:tab w:val="right" w:pos="8640"/>
        </w:tabs>
        <w:jc w:val="center"/>
      </w:pPr>
      <w:r>
        <w:t xml:space="preserve">IL FUNZIONARIO RESPONSABILE DELL’ </w:t>
      </w:r>
      <w:bookmarkStart w:id="10" w:name="SETTORE"/>
      <w:r>
        <w:t>AREA SERVIZI DEMOGRAFICI E ISTRUZIONE</w:t>
      </w:r>
      <w:bookmarkEnd w:id="10"/>
    </w:p>
    <w:p w:rsidR="00997F3A" w:rsidRDefault="007565EB" w:rsidP="00E2400F">
      <w:pPr>
        <w:widowControl w:val="0"/>
        <w:tabs>
          <w:tab w:val="center" w:pos="4320"/>
          <w:tab w:val="right" w:pos="8640"/>
        </w:tabs>
      </w:pPr>
    </w:p>
    <w:p w:rsidR="00407256" w:rsidRDefault="007565EB" w:rsidP="00407256">
      <w:pPr>
        <w:widowControl w:val="0"/>
        <w:jc w:val="both"/>
      </w:pPr>
      <w:bookmarkStart w:id="11" w:name="testo_proposta"/>
      <w:r>
        <w:t>Premesso:</w:t>
      </w:r>
    </w:p>
    <w:p w:rsidR="00407256" w:rsidRDefault="007565EB" w:rsidP="00AB2172">
      <w:pPr>
        <w:widowControl w:val="0"/>
        <w:numPr>
          <w:ilvl w:val="0"/>
          <w:numId w:val="6"/>
        </w:numPr>
        <w:spacing w:line="240" w:lineRule="auto"/>
        <w:jc w:val="both"/>
      </w:pPr>
      <w:r w:rsidRPr="00AB2172">
        <w:t xml:space="preserve">che con deliberazione della Giunta </w:t>
      </w:r>
      <w:r w:rsidRPr="00AB2172">
        <w:t>Comunale n.160 del 26/09/2019 è stata approvata la riorganizzazione della struttura comunale ed individuate le posizioni organizzative di Responsabile di Area;</w:t>
      </w:r>
    </w:p>
    <w:p w:rsidR="00407256" w:rsidRDefault="007565EB" w:rsidP="00FC58BD">
      <w:pPr>
        <w:widowControl w:val="0"/>
        <w:numPr>
          <w:ilvl w:val="0"/>
          <w:numId w:val="6"/>
        </w:numPr>
        <w:spacing w:line="240" w:lineRule="auto"/>
        <w:jc w:val="both"/>
      </w:pPr>
      <w:r>
        <w:t xml:space="preserve">che con Decreto Sindacale del 31/12/2021 num. 6 è stato individuato il Funzionario Responsabile </w:t>
      </w:r>
      <w:r>
        <w:t>dell’Area fino al 31.12.2023;</w:t>
      </w:r>
    </w:p>
    <w:p w:rsidR="00407256" w:rsidRDefault="007565EB" w:rsidP="00407256">
      <w:pPr>
        <w:widowControl w:val="0"/>
        <w:jc w:val="both"/>
      </w:pPr>
      <w:r>
        <w:t>Visto:</w:t>
      </w:r>
    </w:p>
    <w:p w:rsidR="00517ACF" w:rsidRDefault="007565EB" w:rsidP="00685F3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</w:pPr>
      <w:r w:rsidRPr="00517ACF">
        <w:t>la legge n. 234 del 30/12/2021, “Bilancio di previsione dello Stato per l'anno finanziario 2022 e bilancio pluriennale per il triennio 2022-2024.” (Legge di Stabilità 2022);</w:t>
      </w:r>
    </w:p>
    <w:p w:rsidR="005E32C3" w:rsidRDefault="007565EB" w:rsidP="005E32C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</w:pPr>
      <w:r>
        <w:t xml:space="preserve">il decreto del ministero dell'interno del 24 </w:t>
      </w:r>
      <w:r>
        <w:t>dicembre 2021 pubblicato in GU n 309 del 30.12.2021 con il quale è stato prorogato il termine di approvazione del bilancio di previsione degli enti locali 2022-2024 al 31 marzo 2022;</w:t>
      </w:r>
    </w:p>
    <w:p w:rsidR="00685F3C" w:rsidRDefault="007565EB" w:rsidP="005E32C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</w:pPr>
      <w:r>
        <w:t>che l’Ente si trova in situazione di esercizio provvisorio ( art. 163 com</w:t>
      </w:r>
      <w:r>
        <w:t>ma 3 DLGS 267/2000);</w:t>
      </w:r>
    </w:p>
    <w:p w:rsidR="00685F3C" w:rsidRDefault="007565EB" w:rsidP="00685F3C">
      <w:pPr>
        <w:widowControl w:val="0"/>
        <w:autoSpaceDE w:val="0"/>
        <w:autoSpaceDN w:val="0"/>
        <w:adjustRightInd w:val="0"/>
        <w:spacing w:line="240" w:lineRule="auto"/>
        <w:ind w:left="720"/>
        <w:jc w:val="both"/>
      </w:pPr>
    </w:p>
    <w:p w:rsidR="00407256" w:rsidRDefault="007565EB" w:rsidP="0040725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</w:pPr>
      <w:r>
        <w:t>lo Statuto Comunale;</w:t>
      </w:r>
    </w:p>
    <w:p w:rsidR="00407256" w:rsidRDefault="007565EB" w:rsidP="0040725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</w:pPr>
      <w:r>
        <w:t>il Regolamento di Contabilità;</w:t>
      </w:r>
    </w:p>
    <w:p w:rsidR="00407256" w:rsidRPr="00D42C41" w:rsidRDefault="007565EB" w:rsidP="00407256">
      <w:pPr>
        <w:widowControl w:val="0"/>
        <w:numPr>
          <w:ilvl w:val="0"/>
          <w:numId w:val="6"/>
        </w:numPr>
        <w:spacing w:line="240" w:lineRule="auto"/>
        <w:jc w:val="both"/>
      </w:pPr>
      <w:r w:rsidRPr="00D42C41">
        <w:t xml:space="preserve">la Deliberazione del Consiglio Comunale n. 11 del 29 aprile 2021 con la quale è stato deliberato l’Esercizio per l’Anno 2021-2022-2023; </w:t>
      </w:r>
    </w:p>
    <w:p w:rsidR="00407256" w:rsidRDefault="007565EB" w:rsidP="00952A98">
      <w:pPr>
        <w:widowControl w:val="0"/>
        <w:numPr>
          <w:ilvl w:val="0"/>
          <w:numId w:val="6"/>
        </w:numPr>
        <w:spacing w:line="240" w:lineRule="auto"/>
        <w:jc w:val="both"/>
      </w:pPr>
      <w:r>
        <w:t>la Deliberazione del Consiglio Comunale n. 10</w:t>
      </w:r>
      <w:r>
        <w:t xml:space="preserve"> del 29 aprile 2021 con la quale è stato approvato il Documento Unico di Programmazione (DUP) 2021 -2022-2023;</w:t>
      </w:r>
    </w:p>
    <w:p w:rsidR="00407256" w:rsidRDefault="007565EB" w:rsidP="00657065">
      <w:pPr>
        <w:widowControl w:val="0"/>
        <w:numPr>
          <w:ilvl w:val="0"/>
          <w:numId w:val="6"/>
        </w:numPr>
        <w:spacing w:line="240" w:lineRule="auto"/>
        <w:jc w:val="both"/>
      </w:pPr>
      <w:r w:rsidRPr="00D435F1">
        <w:t>la Deliberazione della Giunta Comunale n. 96 del 13/05/2021 con la quale è stato approvato il Piano Esecutivo di Gestione 2021 e assegnate le ris</w:t>
      </w:r>
      <w:r w:rsidRPr="00D435F1">
        <w:t>orse umane, finanziarie e gli obiettivi ai funzionari responsabili;</w:t>
      </w:r>
    </w:p>
    <w:p w:rsidR="00407256" w:rsidRDefault="007565EB" w:rsidP="00FC58BD">
      <w:pPr>
        <w:widowControl w:val="0"/>
        <w:numPr>
          <w:ilvl w:val="12"/>
          <w:numId w:val="0"/>
        </w:numPr>
        <w:spacing w:line="240" w:lineRule="auto"/>
        <w:jc w:val="both"/>
      </w:pPr>
    </w:p>
    <w:p w:rsidR="00D47509" w:rsidRDefault="007565EB" w:rsidP="00FC58BD">
      <w:pPr>
        <w:widowControl w:val="0"/>
        <w:numPr>
          <w:ilvl w:val="12"/>
          <w:numId w:val="0"/>
        </w:numPr>
        <w:spacing w:line="240" w:lineRule="auto"/>
        <w:jc w:val="both"/>
      </w:pPr>
      <w:r>
        <w:t>PREMESSO che:</w:t>
      </w:r>
    </w:p>
    <w:p w:rsidR="00D47509" w:rsidRDefault="007565EB" w:rsidP="00D47509">
      <w:pPr>
        <w:pStyle w:val="Paragrafoelenco"/>
        <w:widowControl w:val="0"/>
        <w:numPr>
          <w:ilvl w:val="0"/>
          <w:numId w:val="7"/>
        </w:numPr>
        <w:spacing w:line="240" w:lineRule="auto"/>
        <w:jc w:val="both"/>
      </w:pPr>
      <w:r>
        <w:t xml:space="preserve">nell’anno in corso è stato indetto il Censimento permanente della popolazione e delle abitazioni 2022 che dovrà essere effettuato secondo le modalità e le tempistiche </w:t>
      </w:r>
      <w:r>
        <w:t>definite dall’ISTAT;</w:t>
      </w:r>
    </w:p>
    <w:p w:rsidR="00D47509" w:rsidRDefault="007565EB" w:rsidP="00D47509">
      <w:pPr>
        <w:pStyle w:val="Paragrafoelenco"/>
        <w:widowControl w:val="0"/>
        <w:numPr>
          <w:ilvl w:val="0"/>
          <w:numId w:val="7"/>
        </w:numPr>
        <w:spacing w:line="240" w:lineRule="auto"/>
        <w:jc w:val="both"/>
      </w:pPr>
      <w:r>
        <w:t>per la realizzazione del censimento occorre avvalersi di rilevatori;</w:t>
      </w:r>
    </w:p>
    <w:p w:rsidR="00941B4A" w:rsidRDefault="007565EB" w:rsidP="00002891">
      <w:pPr>
        <w:pStyle w:val="Paragrafoelenco"/>
        <w:widowControl w:val="0"/>
        <w:numPr>
          <w:ilvl w:val="0"/>
          <w:numId w:val="7"/>
        </w:numPr>
        <w:spacing w:line="240" w:lineRule="auto"/>
        <w:jc w:val="both"/>
      </w:pPr>
      <w:r>
        <w:t>oltre ai censimenti permanenti, l’ISTAT organizza durante l’anno varie indagini statistiche;</w:t>
      </w:r>
    </w:p>
    <w:p w:rsidR="00D47509" w:rsidRDefault="007565EB" w:rsidP="00D47509">
      <w:pPr>
        <w:pStyle w:val="Paragrafoelenco"/>
        <w:widowControl w:val="0"/>
        <w:numPr>
          <w:ilvl w:val="0"/>
          <w:numId w:val="7"/>
        </w:numPr>
        <w:spacing w:line="240" w:lineRule="auto"/>
        <w:jc w:val="both"/>
      </w:pPr>
      <w:r>
        <w:lastRenderedPageBreak/>
        <w:t xml:space="preserve">la precedente  graduatoria di rilevatori, approvata nel 2018, è esaurita </w:t>
      </w:r>
      <w:r>
        <w:t>ed è, pertanto, necessario, procedere con un nuovo avviso pubblico, per soli titoli, per la formazione di una graduatoria di rilevatori da utilizzare per il censimento 2022 e per ogni altra indagine statistica successiva;</w:t>
      </w:r>
    </w:p>
    <w:p w:rsidR="00D47509" w:rsidRDefault="007565EB" w:rsidP="00FC58BD">
      <w:pPr>
        <w:widowControl w:val="0"/>
        <w:numPr>
          <w:ilvl w:val="12"/>
          <w:numId w:val="0"/>
        </w:numPr>
        <w:spacing w:line="240" w:lineRule="auto"/>
        <w:jc w:val="both"/>
      </w:pPr>
    </w:p>
    <w:p w:rsidR="00D47509" w:rsidRPr="005B1857" w:rsidRDefault="007565EB" w:rsidP="00D47509">
      <w:pPr>
        <w:widowControl w:val="0"/>
        <w:numPr>
          <w:ilvl w:val="12"/>
          <w:numId w:val="0"/>
        </w:numPr>
        <w:spacing w:line="240" w:lineRule="auto"/>
        <w:jc w:val="both"/>
      </w:pPr>
      <w:r>
        <w:t>VISTE le caratteristiche che devo</w:t>
      </w:r>
      <w:r>
        <w:t>no possedere i rilevatori, stabilite dall’ISTAT, come da Circolare n.2</w:t>
      </w:r>
    </w:p>
    <w:p w:rsidR="00D47509" w:rsidRDefault="007565EB" w:rsidP="00D47509">
      <w:pPr>
        <w:widowControl w:val="0"/>
        <w:numPr>
          <w:ilvl w:val="12"/>
          <w:numId w:val="0"/>
        </w:numPr>
        <w:spacing w:line="240" w:lineRule="auto"/>
        <w:jc w:val="both"/>
      </w:pPr>
      <w:r>
        <w:t>del 18/05/2021, avente per oggetto: “Censimento permanente della popolazione 2021. Operatori di censimento: modalità di selezione, requisiti professionali,formazione e compiti di person</w:t>
      </w:r>
      <w:r>
        <w:t xml:space="preserve">ale di staff, coordinatori, operatori di back office e rilevatori; assicurazione del personale della rete di rilevazione territoriale”; </w:t>
      </w:r>
    </w:p>
    <w:p w:rsidR="00D47509" w:rsidRDefault="007565EB" w:rsidP="00FC58BD">
      <w:pPr>
        <w:widowControl w:val="0"/>
        <w:numPr>
          <w:ilvl w:val="12"/>
          <w:numId w:val="0"/>
        </w:numPr>
        <w:spacing w:line="240" w:lineRule="auto"/>
        <w:jc w:val="both"/>
      </w:pPr>
    </w:p>
    <w:p w:rsidR="00D47509" w:rsidRDefault="007565EB" w:rsidP="00D47509">
      <w:pPr>
        <w:widowControl w:val="0"/>
        <w:numPr>
          <w:ilvl w:val="12"/>
          <w:numId w:val="0"/>
        </w:numPr>
        <w:spacing w:line="240" w:lineRule="auto"/>
        <w:jc w:val="both"/>
        <w:rPr>
          <w:i/>
        </w:rPr>
      </w:pPr>
      <w:r w:rsidRPr="005B1857">
        <w:t>VISTA la circolare Istat  n.1 del 21.02.2022 avente ad oggetto “</w:t>
      </w:r>
      <w:r w:rsidRPr="005B1857">
        <w:rPr>
          <w:i/>
        </w:rPr>
        <w:t>Censimento Permanente della Popolazione e delle Abitaz</w:t>
      </w:r>
      <w:r w:rsidRPr="005B1857">
        <w:rPr>
          <w:i/>
        </w:rPr>
        <w:t>ioni 2022:</w:t>
      </w:r>
      <w:r w:rsidRPr="005B1857">
        <w:t xml:space="preserve"> </w:t>
      </w:r>
      <w:r w:rsidRPr="005B1857">
        <w:rPr>
          <w:i/>
        </w:rPr>
        <w:t>Convivenze anagrafiche e popolazioni speciali e costituzione</w:t>
      </w:r>
      <w:r w:rsidRPr="005B1857">
        <w:t xml:space="preserve"> </w:t>
      </w:r>
      <w:r w:rsidRPr="005B1857">
        <w:rPr>
          <w:i/>
        </w:rPr>
        <w:t>o aggiornamento dell’Ufficio comunale di Censimento(UCC)”;</w:t>
      </w:r>
    </w:p>
    <w:p w:rsidR="00D47509" w:rsidRDefault="007565EB" w:rsidP="00D47509">
      <w:pPr>
        <w:widowControl w:val="0"/>
        <w:numPr>
          <w:ilvl w:val="12"/>
          <w:numId w:val="0"/>
        </w:numPr>
        <w:spacing w:line="240" w:lineRule="auto"/>
        <w:jc w:val="both"/>
        <w:rPr>
          <w:i/>
        </w:rPr>
      </w:pPr>
    </w:p>
    <w:p w:rsidR="00407256" w:rsidRDefault="007565EB" w:rsidP="00FC58BD">
      <w:pPr>
        <w:widowControl w:val="0"/>
        <w:numPr>
          <w:ilvl w:val="12"/>
          <w:numId w:val="0"/>
        </w:numPr>
        <w:spacing w:line="240" w:lineRule="auto"/>
        <w:jc w:val="both"/>
      </w:pPr>
      <w:r>
        <w:t>RICHIAMATA la delibera della Giunta Comunale n. 37 del 10/03/2022 “Censimento permanente della popolazione e della abitazion</w:t>
      </w:r>
      <w:r>
        <w:t>i 2022. Costituzione Ufficio Comunale di Censimento” che, al punto 3) autorizza il Responsabile di Area a predisporre specifico avviso pubblico per la formazione di una graduatoria di rilevatori;</w:t>
      </w:r>
    </w:p>
    <w:p w:rsidR="005B1857" w:rsidRDefault="007565EB" w:rsidP="00FC58BD">
      <w:pPr>
        <w:widowControl w:val="0"/>
        <w:numPr>
          <w:ilvl w:val="12"/>
          <w:numId w:val="0"/>
        </w:numPr>
        <w:spacing w:line="240" w:lineRule="auto"/>
        <w:jc w:val="both"/>
      </w:pPr>
    </w:p>
    <w:p w:rsidR="00170B90" w:rsidRDefault="007565EB" w:rsidP="00FC58BD">
      <w:pPr>
        <w:widowControl w:val="0"/>
        <w:numPr>
          <w:ilvl w:val="12"/>
          <w:numId w:val="0"/>
        </w:numPr>
        <w:spacing w:line="240" w:lineRule="auto"/>
        <w:jc w:val="both"/>
      </w:pPr>
      <w:r>
        <w:t>VISTA la Legge n. 205/2017, art. 1, commi da 227 a 237, che</w:t>
      </w:r>
      <w:r>
        <w:t xml:space="preserve"> indice e finanza i censimenti permanenti; </w:t>
      </w:r>
    </w:p>
    <w:p w:rsidR="00956CB3" w:rsidRPr="00956CB3" w:rsidRDefault="007565EB" w:rsidP="00956CB3">
      <w:pPr>
        <w:spacing w:line="240" w:lineRule="auto"/>
      </w:pPr>
      <w:r w:rsidRPr="00956CB3">
        <w:t xml:space="preserve">VISTI: </w:t>
      </w:r>
    </w:p>
    <w:p w:rsidR="00956CB3" w:rsidRPr="00956CB3" w:rsidRDefault="007565EB" w:rsidP="00956CB3">
      <w:pPr>
        <w:spacing w:line="240" w:lineRule="auto"/>
        <w:jc w:val="both"/>
      </w:pPr>
      <w:r w:rsidRPr="00956CB3">
        <w:t>- il D.Lgs. 06/09/1989, n. 322, recante “Norme sul Sistema Statistico Nazionale e sulla riorganizzazione dell’Istituto Nazionale di Statistica, ai sensi dell’art. 24 della L. 23/08/1988, n. 400”, ove all’</w:t>
      </w:r>
      <w:r w:rsidRPr="00956CB3">
        <w:t>art. 3, co. 3, veniva prevista l’istituzione dell’Ufficio di Statistica presso gli Enti Locali;</w:t>
      </w:r>
    </w:p>
    <w:p w:rsidR="00956CB3" w:rsidRPr="00956CB3" w:rsidRDefault="007565EB" w:rsidP="00956CB3">
      <w:pPr>
        <w:spacing w:line="240" w:lineRule="auto"/>
        <w:jc w:val="both"/>
      </w:pPr>
      <w:r w:rsidRPr="00956CB3">
        <w:t>- l’art. 14 del D.Lgs. 18/08/2000, n. 267, il quale attribuisce al Comune la gestione del servizio statistica, le cui funzioni sono esercitate dal Sindaco quale</w:t>
      </w:r>
      <w:r w:rsidRPr="00956CB3">
        <w:t xml:space="preserve"> Ufficiale del Governo per i relativi adempimenti; </w:t>
      </w:r>
    </w:p>
    <w:p w:rsidR="00956CB3" w:rsidRPr="00956CB3" w:rsidRDefault="007565EB" w:rsidP="00956CB3">
      <w:pPr>
        <w:spacing w:line="240" w:lineRule="auto"/>
        <w:jc w:val="both"/>
        <w:rPr>
          <w:b/>
          <w:bCs/>
        </w:rPr>
      </w:pPr>
    </w:p>
    <w:p w:rsidR="00956CB3" w:rsidRPr="00956CB3" w:rsidRDefault="007565EB" w:rsidP="00956CB3">
      <w:pPr>
        <w:spacing w:line="240" w:lineRule="auto"/>
        <w:jc w:val="both"/>
      </w:pPr>
      <w:r w:rsidRPr="00956CB3">
        <w:rPr>
          <w:bCs/>
        </w:rPr>
        <w:t xml:space="preserve">VERIFICATA la </w:t>
      </w:r>
      <w:r w:rsidRPr="00956CB3">
        <w:t xml:space="preserve">legittimazione della sottoscritta all’emanazione del presente provvedimento, non sussistendo, salve situazioni di cui allo stato non vi è conoscenza,  di cause di incompatibilità e/o conflitto di interesse previste dalla normativa vigente, con particolare </w:t>
      </w:r>
      <w:r w:rsidRPr="00956CB3">
        <w:t xml:space="preserve">riferimento al codice di comportamento e alla normativa anticorruzione; </w:t>
      </w:r>
    </w:p>
    <w:p w:rsidR="00D47509" w:rsidRDefault="007565EB" w:rsidP="00FC58BD">
      <w:pPr>
        <w:widowControl w:val="0"/>
        <w:numPr>
          <w:ilvl w:val="12"/>
          <w:numId w:val="0"/>
        </w:numPr>
        <w:spacing w:line="240" w:lineRule="auto"/>
        <w:jc w:val="both"/>
      </w:pPr>
    </w:p>
    <w:p w:rsidR="00407256" w:rsidRDefault="007565EB" w:rsidP="00FC58BD">
      <w:pPr>
        <w:spacing w:line="240" w:lineRule="auto"/>
        <w:rPr>
          <w:b/>
          <w:bCs/>
        </w:rPr>
      </w:pPr>
    </w:p>
    <w:p w:rsidR="00407256" w:rsidRDefault="007565EB" w:rsidP="00407256">
      <w:pPr>
        <w:jc w:val="center"/>
        <w:rPr>
          <w:b/>
          <w:bCs/>
        </w:rPr>
      </w:pPr>
      <w:r>
        <w:rPr>
          <w:b/>
          <w:bCs/>
        </w:rPr>
        <w:t>D E T E R M I N A</w:t>
      </w:r>
    </w:p>
    <w:p w:rsidR="00407256" w:rsidRDefault="007565EB" w:rsidP="00407256">
      <w:pPr>
        <w:pStyle w:val="Testoprede1"/>
        <w:jc w:val="both"/>
        <w:rPr>
          <w:rFonts w:ascii="Times New Roman" w:hAnsi="Times New Roman" w:cs="Times New Roman"/>
        </w:rPr>
      </w:pPr>
      <w:r w:rsidRPr="008922C3">
        <w:rPr>
          <w:rFonts w:ascii="Times New Roman" w:hAnsi="Times New Roman" w:cs="Times New Roman"/>
        </w:rPr>
        <w:t>Per le motivazioni espresse in premessa, quali parte integrante e sostanziale del presente atto:</w:t>
      </w:r>
    </w:p>
    <w:p w:rsidR="008B4812" w:rsidRDefault="007565EB" w:rsidP="00407256">
      <w:pPr>
        <w:pStyle w:val="Testoprede1"/>
        <w:jc w:val="both"/>
        <w:rPr>
          <w:rFonts w:ascii="Times New Roman" w:hAnsi="Times New Roman" w:cs="Times New Roman"/>
        </w:rPr>
      </w:pPr>
    </w:p>
    <w:p w:rsidR="008B4812" w:rsidRDefault="007565EB" w:rsidP="008B4812">
      <w:pPr>
        <w:pStyle w:val="Paragrafoelenco"/>
        <w:widowControl w:val="0"/>
        <w:numPr>
          <w:ilvl w:val="0"/>
          <w:numId w:val="8"/>
        </w:numPr>
        <w:spacing w:line="240" w:lineRule="auto"/>
        <w:jc w:val="both"/>
      </w:pPr>
      <w:r>
        <w:t>Di approvare il bando dell’avviso di selezione pubblica, per soli</w:t>
      </w:r>
      <w:r>
        <w:t xml:space="preserve"> titoli, per la formazione di una graduatoria di rilevatori per indagini statistiche, completo del modulo di domanda, nel testo allegato alla presente, del quale costituisce parte integrante e sostanziale;</w:t>
      </w:r>
    </w:p>
    <w:p w:rsidR="008C7F10" w:rsidRDefault="007565EB" w:rsidP="008C7F10">
      <w:pPr>
        <w:pStyle w:val="Paragrafoelenco"/>
        <w:widowControl w:val="0"/>
        <w:spacing w:line="240" w:lineRule="auto"/>
        <w:jc w:val="both"/>
      </w:pPr>
    </w:p>
    <w:p w:rsidR="000037F3" w:rsidRPr="000037F3" w:rsidRDefault="007565EB" w:rsidP="000037F3">
      <w:pPr>
        <w:pStyle w:val="Paragrafoelenco"/>
        <w:widowControl w:val="0"/>
        <w:numPr>
          <w:ilvl w:val="0"/>
          <w:numId w:val="8"/>
        </w:numPr>
        <w:spacing w:line="240" w:lineRule="auto"/>
        <w:ind w:left="770"/>
        <w:jc w:val="both"/>
        <w:rPr>
          <w:bCs/>
        </w:rPr>
      </w:pPr>
      <w:r>
        <w:t xml:space="preserve">Di stabilire che </w:t>
      </w:r>
      <w:r w:rsidRPr="000037F3">
        <w:rPr>
          <w:bCs/>
        </w:rPr>
        <w:t>le domande  possono pervenire da</w:t>
      </w:r>
      <w:r w:rsidRPr="000037F3">
        <w:rPr>
          <w:bCs/>
        </w:rPr>
        <w:t>l 17 marzo 2022 alle ore 24,00 del  16 aprile  2022 con le modalità indicate nel bando;</w:t>
      </w:r>
    </w:p>
    <w:p w:rsidR="000037F3" w:rsidRPr="000037F3" w:rsidRDefault="007565EB" w:rsidP="000037F3">
      <w:pPr>
        <w:widowControl w:val="0"/>
        <w:spacing w:line="240" w:lineRule="auto"/>
        <w:ind w:left="770"/>
        <w:jc w:val="both"/>
        <w:rPr>
          <w:bCs/>
        </w:rPr>
      </w:pPr>
    </w:p>
    <w:p w:rsidR="00923DBD" w:rsidRDefault="007565EB" w:rsidP="000037F3">
      <w:pPr>
        <w:pStyle w:val="Paragrafoelenco"/>
        <w:widowControl w:val="0"/>
        <w:numPr>
          <w:ilvl w:val="0"/>
          <w:numId w:val="8"/>
        </w:numPr>
        <w:spacing w:line="240" w:lineRule="auto"/>
        <w:jc w:val="both"/>
        <w:rPr>
          <w:bCs/>
        </w:rPr>
      </w:pPr>
      <w:r w:rsidRPr="000037F3">
        <w:rPr>
          <w:bCs/>
        </w:rPr>
        <w:t>Di procedere alla diffusione dell’avviso pubblico mediante pubblicazione all’Albo on-line, nel  sito internet del Comune, sulla pagina facebook istituzionale;</w:t>
      </w:r>
    </w:p>
    <w:p w:rsidR="00CC48E5" w:rsidRPr="00CC48E5" w:rsidRDefault="007565EB" w:rsidP="00CC48E5">
      <w:pPr>
        <w:pStyle w:val="Paragrafoelenco"/>
        <w:rPr>
          <w:bCs/>
        </w:rPr>
      </w:pPr>
    </w:p>
    <w:p w:rsidR="00CC48E5" w:rsidRPr="00CC48E5" w:rsidRDefault="007565EB" w:rsidP="000037F3">
      <w:pPr>
        <w:pStyle w:val="Paragrafoelenco"/>
        <w:widowControl w:val="0"/>
        <w:numPr>
          <w:ilvl w:val="0"/>
          <w:numId w:val="8"/>
        </w:numPr>
        <w:spacing w:line="240" w:lineRule="auto"/>
        <w:jc w:val="both"/>
        <w:rPr>
          <w:bCs/>
        </w:rPr>
      </w:pPr>
      <w:r>
        <w:t>Di dare</w:t>
      </w:r>
      <w:r>
        <w:t xml:space="preserve"> atto altresì che la presente determinazione non comporta alcun impegno di spesa; </w:t>
      </w:r>
    </w:p>
    <w:p w:rsidR="00CC48E5" w:rsidRDefault="007565EB" w:rsidP="00CC48E5">
      <w:pPr>
        <w:pStyle w:val="Paragrafoelenco"/>
      </w:pPr>
    </w:p>
    <w:p w:rsidR="00CC48E5" w:rsidRPr="000037F3" w:rsidRDefault="007565EB" w:rsidP="000037F3">
      <w:pPr>
        <w:pStyle w:val="Paragrafoelenco"/>
        <w:widowControl w:val="0"/>
        <w:numPr>
          <w:ilvl w:val="0"/>
          <w:numId w:val="8"/>
        </w:numPr>
        <w:spacing w:line="240" w:lineRule="auto"/>
        <w:jc w:val="both"/>
        <w:rPr>
          <w:bCs/>
        </w:rPr>
      </w:pPr>
      <w:r>
        <w:t xml:space="preserve">Di precisare  che il Responsabile del Procedimento, ai sensi della legge 241/1990 e </w:t>
      </w:r>
      <w:r>
        <w:lastRenderedPageBreak/>
        <w:t>ss.mm.ii., è la Dott.ssa Pasquina Bettolini;</w:t>
      </w:r>
    </w:p>
    <w:p w:rsidR="00407256" w:rsidRDefault="007565EB" w:rsidP="00923DBD">
      <w:pPr>
        <w:widowControl w:val="0"/>
        <w:spacing w:line="240" w:lineRule="auto"/>
        <w:ind w:left="770"/>
        <w:jc w:val="both"/>
      </w:pPr>
    </w:p>
    <w:p w:rsidR="00407256" w:rsidRDefault="007565EB" w:rsidP="004A7D9B">
      <w:pPr>
        <w:pStyle w:val="Paragrafoelenco"/>
        <w:widowControl w:val="0"/>
        <w:numPr>
          <w:ilvl w:val="0"/>
          <w:numId w:val="8"/>
        </w:numPr>
        <w:spacing w:line="240" w:lineRule="auto"/>
        <w:jc w:val="both"/>
      </w:pPr>
      <w:r>
        <w:t xml:space="preserve">Di inviare il presente atto al </w:t>
      </w:r>
      <w:r>
        <w:t>responsabile del servizio finanziario per gli adempimenti di competenza.</w:t>
      </w:r>
    </w:p>
    <w:p w:rsidR="0003391B" w:rsidRPr="0003391B" w:rsidRDefault="007565EB" w:rsidP="0003391B">
      <w:pPr>
        <w:ind w:left="720"/>
        <w:contextualSpacing/>
      </w:pPr>
    </w:p>
    <w:p w:rsidR="0003391B" w:rsidRPr="0003391B" w:rsidRDefault="007565EB" w:rsidP="0003391B">
      <w:pPr>
        <w:widowControl w:val="0"/>
        <w:autoSpaceDE w:val="0"/>
        <w:autoSpaceDN w:val="0"/>
        <w:adjustRightInd w:val="0"/>
        <w:jc w:val="both"/>
      </w:pPr>
      <w:r w:rsidRPr="0003391B">
        <w:t>Ai sensi dell’art. 147bis del TUEL si appone:</w:t>
      </w:r>
    </w:p>
    <w:p w:rsidR="0003391B" w:rsidRPr="0003391B" w:rsidRDefault="007565EB" w:rsidP="0003391B">
      <w:pPr>
        <w:widowControl w:val="0"/>
        <w:autoSpaceDE w:val="0"/>
        <w:autoSpaceDN w:val="0"/>
        <w:adjustRightInd w:val="0"/>
        <w:jc w:val="both"/>
      </w:pPr>
      <w:r w:rsidRPr="0003391B">
        <w:t>PARERE FAVOREVOLE DI REGOLARITA’ TECNICA ATTESTANTE LA REGOLARITA’ E CORRETTEZZA DELL’AZIONE AMMINISTRATIVA</w:t>
      </w:r>
    </w:p>
    <w:p w:rsidR="00432E91" w:rsidRDefault="007565EB" w:rsidP="00432E91">
      <w:pPr>
        <w:widowControl w:val="0"/>
        <w:spacing w:line="240" w:lineRule="auto"/>
        <w:jc w:val="both"/>
      </w:pPr>
    </w:p>
    <w:bookmarkEnd w:id="11"/>
    <w:p w:rsidR="00407256" w:rsidRDefault="007565EB" w:rsidP="00407256">
      <w:pPr>
        <w:widowControl w:val="0"/>
        <w:jc w:val="both"/>
      </w:pPr>
    </w:p>
    <w:p w:rsidR="00E2400F" w:rsidRDefault="007565EB" w:rsidP="00E2400F">
      <w:pPr>
        <w:widowControl w:val="0"/>
        <w:tabs>
          <w:tab w:val="center" w:pos="4320"/>
          <w:tab w:val="right" w:pos="8640"/>
        </w:tabs>
        <w:rPr>
          <w:rFonts w:cs="Times New Roman"/>
          <w:szCs w:val="36"/>
        </w:rPr>
      </w:pPr>
    </w:p>
    <w:p w:rsidR="00A24F81" w:rsidRDefault="007565EB" w:rsidP="00A24F81">
      <w:pPr>
        <w:autoSpaceDE w:val="0"/>
        <w:autoSpaceDN w:val="0"/>
        <w:adjustRightInd w:val="0"/>
        <w:spacing w:line="240" w:lineRule="auto"/>
        <w:rPr>
          <w:rFonts w:cs="Times New Roman"/>
          <w:sz w:val="28"/>
          <w:szCs w:val="3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3B2923" w:rsidTr="002C7764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B3" w:rsidRDefault="007565EB">
            <w:pPr>
              <w:autoSpaceDE w:val="0"/>
              <w:autoSpaceDN w:val="0"/>
              <w:adjustRightInd w:val="0"/>
              <w:rPr>
                <w:rFonts w:cs="Times New Roman"/>
                <w:szCs w:val="36"/>
              </w:rPr>
            </w:pPr>
            <w:r>
              <w:rPr>
                <w:rFonts w:cs="Times New Roman"/>
                <w:szCs w:val="36"/>
              </w:rPr>
              <w:t>Capitolo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B3" w:rsidRDefault="007565EB">
            <w:pPr>
              <w:autoSpaceDE w:val="0"/>
              <w:autoSpaceDN w:val="0"/>
              <w:adjustRightInd w:val="0"/>
              <w:rPr>
                <w:rFonts w:cs="Times New Roman"/>
                <w:szCs w:val="36"/>
              </w:rPr>
            </w:pPr>
            <w:r>
              <w:rPr>
                <w:rFonts w:cs="Times New Roman"/>
                <w:szCs w:val="36"/>
              </w:rPr>
              <w:t>CC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B3" w:rsidRDefault="007565EB">
            <w:pPr>
              <w:autoSpaceDE w:val="0"/>
              <w:autoSpaceDN w:val="0"/>
              <w:adjustRightInd w:val="0"/>
              <w:rPr>
                <w:rFonts w:cs="Times New Roman"/>
                <w:szCs w:val="36"/>
              </w:rPr>
            </w:pPr>
            <w:r>
              <w:rPr>
                <w:rFonts w:cs="Times New Roman"/>
                <w:szCs w:val="36"/>
              </w:rPr>
              <w:t>Beneficiario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B3" w:rsidRDefault="007565EB">
            <w:pPr>
              <w:autoSpaceDE w:val="0"/>
              <w:autoSpaceDN w:val="0"/>
              <w:adjustRightInd w:val="0"/>
              <w:rPr>
                <w:rFonts w:cs="Times New Roman"/>
                <w:szCs w:val="36"/>
              </w:rPr>
            </w:pPr>
            <w:r>
              <w:rPr>
                <w:rFonts w:cs="Times New Roman"/>
                <w:szCs w:val="36"/>
              </w:rPr>
              <w:t>Impegno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B3" w:rsidRDefault="007565EB">
            <w:pPr>
              <w:autoSpaceDE w:val="0"/>
              <w:autoSpaceDN w:val="0"/>
              <w:adjustRightInd w:val="0"/>
              <w:rPr>
                <w:rFonts w:cs="Times New Roman"/>
                <w:szCs w:val="36"/>
              </w:rPr>
            </w:pPr>
            <w:r>
              <w:rPr>
                <w:rFonts w:cs="Times New Roman"/>
                <w:szCs w:val="36"/>
              </w:rPr>
              <w:t>Importo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B3" w:rsidRDefault="007565EB" w:rsidP="00FB63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36"/>
              </w:rPr>
            </w:pPr>
            <w:r>
              <w:rPr>
                <w:rFonts w:cs="Times New Roman"/>
                <w:szCs w:val="36"/>
              </w:rPr>
              <w:t>CIG</w:t>
            </w:r>
          </w:p>
        </w:tc>
      </w:tr>
      <w:tr w:rsidR="003B2923" w:rsidTr="002C7764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B3" w:rsidRDefault="007565EB">
            <w:pPr>
              <w:autoSpaceDE w:val="0"/>
              <w:autoSpaceDN w:val="0"/>
              <w:adjustRightInd w:val="0"/>
              <w:rPr>
                <w:rFonts w:cs="Times New Roman"/>
                <w:szCs w:val="3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B3" w:rsidRDefault="007565EB">
            <w:pPr>
              <w:autoSpaceDE w:val="0"/>
              <w:autoSpaceDN w:val="0"/>
              <w:adjustRightInd w:val="0"/>
              <w:rPr>
                <w:rFonts w:cs="Times New Roman"/>
                <w:szCs w:val="3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B3" w:rsidRDefault="007565EB">
            <w:pPr>
              <w:autoSpaceDE w:val="0"/>
              <w:autoSpaceDN w:val="0"/>
              <w:adjustRightInd w:val="0"/>
              <w:rPr>
                <w:rFonts w:cs="Times New Roman"/>
                <w:szCs w:val="3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B3" w:rsidRDefault="007565EB">
            <w:pPr>
              <w:autoSpaceDE w:val="0"/>
              <w:autoSpaceDN w:val="0"/>
              <w:adjustRightInd w:val="0"/>
              <w:rPr>
                <w:rFonts w:cs="Times New Roman"/>
                <w:szCs w:val="3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B3" w:rsidRDefault="007565EB">
            <w:pPr>
              <w:autoSpaceDE w:val="0"/>
              <w:autoSpaceDN w:val="0"/>
              <w:adjustRightInd w:val="0"/>
              <w:rPr>
                <w:rFonts w:cs="Times New Roman"/>
                <w:szCs w:val="3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B3" w:rsidRDefault="007565EB" w:rsidP="00FB63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36"/>
              </w:rPr>
            </w:pPr>
          </w:p>
        </w:tc>
      </w:tr>
    </w:tbl>
    <w:p w:rsidR="00A24F81" w:rsidRDefault="007565EB" w:rsidP="00A24F81">
      <w:pPr>
        <w:autoSpaceDE w:val="0"/>
        <w:autoSpaceDN w:val="0"/>
        <w:adjustRightInd w:val="0"/>
        <w:spacing w:line="240" w:lineRule="auto"/>
        <w:rPr>
          <w:rFonts w:cs="Times New Roman"/>
          <w:sz w:val="28"/>
          <w:szCs w:val="3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</w:tblGrid>
      <w:tr w:rsidR="003B2923" w:rsidTr="00A24F81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81" w:rsidRDefault="007565EB">
            <w:pPr>
              <w:autoSpaceDE w:val="0"/>
              <w:autoSpaceDN w:val="0"/>
              <w:adjustRightInd w:val="0"/>
              <w:rPr>
                <w:rFonts w:cs="Times New Roman"/>
                <w:szCs w:val="36"/>
              </w:rPr>
            </w:pPr>
            <w:r>
              <w:rPr>
                <w:rFonts w:cs="Times New Roman"/>
                <w:szCs w:val="36"/>
              </w:rPr>
              <w:t>Capitolo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81" w:rsidRDefault="007565EB">
            <w:pPr>
              <w:autoSpaceDE w:val="0"/>
              <w:autoSpaceDN w:val="0"/>
              <w:adjustRightInd w:val="0"/>
              <w:rPr>
                <w:rFonts w:cs="Times New Roman"/>
                <w:szCs w:val="36"/>
              </w:rPr>
            </w:pPr>
            <w:r>
              <w:rPr>
                <w:rFonts w:cs="Times New Roman"/>
                <w:szCs w:val="36"/>
              </w:rPr>
              <w:t>CC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81" w:rsidRDefault="007565EB">
            <w:pPr>
              <w:autoSpaceDE w:val="0"/>
              <w:autoSpaceDN w:val="0"/>
              <w:adjustRightInd w:val="0"/>
              <w:rPr>
                <w:rFonts w:cs="Times New Roman"/>
                <w:szCs w:val="36"/>
              </w:rPr>
            </w:pPr>
            <w:r>
              <w:rPr>
                <w:rFonts w:cs="Times New Roman"/>
                <w:szCs w:val="36"/>
              </w:rPr>
              <w:t>Beneficiario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81" w:rsidRDefault="007565EB">
            <w:pPr>
              <w:autoSpaceDE w:val="0"/>
              <w:autoSpaceDN w:val="0"/>
              <w:adjustRightInd w:val="0"/>
              <w:rPr>
                <w:rFonts w:cs="Times New Roman"/>
                <w:szCs w:val="36"/>
              </w:rPr>
            </w:pPr>
            <w:r>
              <w:rPr>
                <w:rFonts w:cs="Times New Roman"/>
                <w:szCs w:val="36"/>
              </w:rPr>
              <w:t>Accertamento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81" w:rsidRDefault="007565EB">
            <w:pPr>
              <w:autoSpaceDE w:val="0"/>
              <w:autoSpaceDN w:val="0"/>
              <w:adjustRightInd w:val="0"/>
              <w:rPr>
                <w:rFonts w:cs="Times New Roman"/>
                <w:szCs w:val="36"/>
              </w:rPr>
            </w:pPr>
            <w:r>
              <w:rPr>
                <w:rFonts w:cs="Times New Roman"/>
                <w:szCs w:val="36"/>
              </w:rPr>
              <w:t>Importo</w:t>
            </w:r>
          </w:p>
        </w:tc>
      </w:tr>
      <w:tr w:rsidR="003B2923" w:rsidTr="00A24F81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1" w:rsidRDefault="007565EB">
            <w:pPr>
              <w:autoSpaceDE w:val="0"/>
              <w:autoSpaceDN w:val="0"/>
              <w:adjustRightInd w:val="0"/>
              <w:rPr>
                <w:rFonts w:cs="Times New Roman"/>
                <w:szCs w:val="3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1" w:rsidRDefault="007565EB">
            <w:pPr>
              <w:autoSpaceDE w:val="0"/>
              <w:autoSpaceDN w:val="0"/>
              <w:adjustRightInd w:val="0"/>
              <w:rPr>
                <w:rFonts w:cs="Times New Roman"/>
                <w:szCs w:val="3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1" w:rsidRDefault="007565EB">
            <w:pPr>
              <w:autoSpaceDE w:val="0"/>
              <w:autoSpaceDN w:val="0"/>
              <w:adjustRightInd w:val="0"/>
              <w:rPr>
                <w:rFonts w:cs="Times New Roman"/>
                <w:szCs w:val="3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1" w:rsidRDefault="007565EB">
            <w:pPr>
              <w:autoSpaceDE w:val="0"/>
              <w:autoSpaceDN w:val="0"/>
              <w:adjustRightInd w:val="0"/>
              <w:rPr>
                <w:rFonts w:cs="Times New Roman"/>
                <w:szCs w:val="3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1" w:rsidRDefault="007565EB">
            <w:pPr>
              <w:autoSpaceDE w:val="0"/>
              <w:autoSpaceDN w:val="0"/>
              <w:adjustRightInd w:val="0"/>
              <w:rPr>
                <w:rFonts w:cs="Times New Roman"/>
                <w:szCs w:val="36"/>
              </w:rPr>
            </w:pPr>
          </w:p>
        </w:tc>
      </w:tr>
    </w:tbl>
    <w:p w:rsidR="00A24F81" w:rsidRDefault="007565EB" w:rsidP="00A24F81">
      <w:pPr>
        <w:autoSpaceDE w:val="0"/>
        <w:autoSpaceDN w:val="0"/>
        <w:adjustRightInd w:val="0"/>
        <w:spacing w:line="240" w:lineRule="auto"/>
        <w:rPr>
          <w:rFonts w:cs="Times New Roman"/>
          <w:sz w:val="28"/>
          <w:szCs w:val="36"/>
        </w:rPr>
      </w:pPr>
    </w:p>
    <w:p w:rsidR="00E2400F" w:rsidRDefault="007565EB" w:rsidP="00E2400F">
      <w:pPr>
        <w:widowControl w:val="0"/>
        <w:tabs>
          <w:tab w:val="center" w:pos="4320"/>
          <w:tab w:val="right" w:pos="8640"/>
        </w:tabs>
        <w:rPr>
          <w:rFonts w:cs="Times New Roman"/>
          <w:szCs w:val="3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B2923" w:rsidTr="00E2400F">
        <w:tc>
          <w:tcPr>
            <w:tcW w:w="4889" w:type="dxa"/>
          </w:tcPr>
          <w:p w:rsidR="00E2400F" w:rsidRDefault="007565EB" w:rsidP="00E2400F">
            <w:pPr>
              <w:widowControl w:val="0"/>
              <w:tabs>
                <w:tab w:val="center" w:pos="4320"/>
                <w:tab w:val="right" w:pos="8640"/>
              </w:tabs>
              <w:rPr>
                <w:rFonts w:cs="Times New Roman"/>
                <w:szCs w:val="36"/>
              </w:rPr>
            </w:pPr>
            <w:r>
              <w:rPr>
                <w:rFonts w:cs="Times New Roman"/>
                <w:szCs w:val="36"/>
              </w:rPr>
              <w:t xml:space="preserve">Castiglione del Lago, li </w:t>
            </w:r>
            <w:bookmarkStart w:id="12" w:name="data_firma"/>
            <w:r>
              <w:rPr>
                <w:rFonts w:cs="Times New Roman"/>
                <w:szCs w:val="36"/>
              </w:rPr>
              <w:t>16/03/2022</w:t>
            </w:r>
            <w:bookmarkEnd w:id="12"/>
          </w:p>
        </w:tc>
        <w:tc>
          <w:tcPr>
            <w:tcW w:w="4889" w:type="dxa"/>
          </w:tcPr>
          <w:p w:rsidR="00E2400F" w:rsidRDefault="007565EB" w:rsidP="00E2400F">
            <w:pPr>
              <w:widowControl w:val="0"/>
              <w:tabs>
                <w:tab w:val="center" w:pos="4320"/>
                <w:tab w:val="right" w:pos="8640"/>
              </w:tabs>
              <w:jc w:val="center"/>
              <w:rPr>
                <w:rFonts w:cs="Times New Roman"/>
                <w:szCs w:val="36"/>
              </w:rPr>
            </w:pPr>
            <w:r>
              <w:rPr>
                <w:rFonts w:cs="Times New Roman"/>
                <w:szCs w:val="36"/>
              </w:rPr>
              <w:t xml:space="preserve"> </w:t>
            </w:r>
            <w:bookmarkStart w:id="13" w:name="titolo_firma"/>
            <w:r>
              <w:rPr>
                <w:rFonts w:cs="Times New Roman"/>
                <w:szCs w:val="36"/>
              </w:rPr>
              <w:t>Il Funzionario Responsabile</w:t>
            </w:r>
            <w:bookmarkEnd w:id="13"/>
            <w:r>
              <w:rPr>
                <w:rFonts w:cs="Times New Roman"/>
                <w:szCs w:val="36"/>
              </w:rPr>
              <w:t xml:space="preserve"> </w:t>
            </w:r>
          </w:p>
        </w:tc>
      </w:tr>
      <w:tr w:rsidR="003B2923" w:rsidTr="00E2400F">
        <w:tc>
          <w:tcPr>
            <w:tcW w:w="4889" w:type="dxa"/>
          </w:tcPr>
          <w:p w:rsidR="00E2400F" w:rsidRDefault="007565EB" w:rsidP="00E2400F">
            <w:pPr>
              <w:widowControl w:val="0"/>
              <w:tabs>
                <w:tab w:val="center" w:pos="4320"/>
                <w:tab w:val="right" w:pos="8640"/>
              </w:tabs>
              <w:rPr>
                <w:rFonts w:cs="Times New Roman"/>
                <w:szCs w:val="36"/>
              </w:rPr>
            </w:pPr>
          </w:p>
        </w:tc>
        <w:tc>
          <w:tcPr>
            <w:tcW w:w="4889" w:type="dxa"/>
          </w:tcPr>
          <w:p w:rsidR="00E2400F" w:rsidRDefault="007565EB" w:rsidP="00E2400F">
            <w:pPr>
              <w:widowControl w:val="0"/>
              <w:tabs>
                <w:tab w:val="center" w:pos="4320"/>
                <w:tab w:val="right" w:pos="8640"/>
              </w:tabs>
              <w:jc w:val="center"/>
              <w:rPr>
                <w:rFonts w:cs="Times New Roman"/>
                <w:szCs w:val="36"/>
              </w:rPr>
            </w:pPr>
            <w:r>
              <w:rPr>
                <w:rFonts w:cs="Times New Roman"/>
                <w:szCs w:val="36"/>
              </w:rPr>
              <w:t xml:space="preserve"> </w:t>
            </w:r>
            <w:bookmarkStart w:id="14" w:name="firma"/>
            <w:r>
              <w:rPr>
                <w:rFonts w:cs="Times New Roman"/>
                <w:szCs w:val="36"/>
              </w:rPr>
              <w:t>Pasquina Bettolini / INFOCERT SPA</w:t>
            </w:r>
            <w:bookmarkEnd w:id="14"/>
            <w:r>
              <w:rPr>
                <w:rFonts w:cs="Times New Roman"/>
                <w:szCs w:val="36"/>
              </w:rPr>
              <w:t xml:space="preserve"> </w:t>
            </w:r>
          </w:p>
        </w:tc>
      </w:tr>
    </w:tbl>
    <w:p w:rsidR="00E2400F" w:rsidRDefault="007565EB" w:rsidP="00E2400F">
      <w:pPr>
        <w:widowControl w:val="0"/>
        <w:tabs>
          <w:tab w:val="center" w:pos="4320"/>
          <w:tab w:val="right" w:pos="8640"/>
        </w:tabs>
        <w:rPr>
          <w:rFonts w:cs="Times New Roman"/>
          <w:szCs w:val="36"/>
        </w:rPr>
      </w:pPr>
    </w:p>
    <w:p w:rsidR="00E2400F" w:rsidRPr="00E2400F" w:rsidRDefault="007565EB" w:rsidP="00E2400F">
      <w:pPr>
        <w:widowControl w:val="0"/>
        <w:tabs>
          <w:tab w:val="center" w:pos="4320"/>
          <w:tab w:val="right" w:pos="8640"/>
        </w:tabs>
        <w:rPr>
          <w:rFonts w:cs="Times New Roman"/>
          <w:szCs w:val="36"/>
        </w:rPr>
      </w:pPr>
    </w:p>
    <w:sectPr w:rsidR="00E2400F" w:rsidRPr="00E2400F" w:rsidSect="00A56AE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022415C"/>
    <w:lvl w:ilvl="0" w:tplc="EC6A2F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7643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9426FA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A42D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5612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D76C0A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1E01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40EB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56818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CC160612"/>
    <w:lvl w:ilvl="0" w:tplc="2D9ABF30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2116C2A8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47E80304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1A36FEE8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A2FC273C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7C4C07B8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9620CD6C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3178490E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FA74EED8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">
    <w:nsid w:val="00000003"/>
    <w:multiLevelType w:val="hybridMultilevel"/>
    <w:tmpl w:val="8022415C"/>
    <w:lvl w:ilvl="0" w:tplc="825A21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0435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282B3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2A9E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10CE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B342A0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26D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2E07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53874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F356EA4C"/>
    <w:lvl w:ilvl="0" w:tplc="B5146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5C03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B4CD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480A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8F9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C6D5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581B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E28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74DC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64CE892E"/>
    <w:lvl w:ilvl="0" w:tplc="6FA0A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0C56FE" w:tentative="1">
      <w:start w:val="1"/>
      <w:numFmt w:val="lowerLetter"/>
      <w:lvlText w:val="%2."/>
      <w:lvlJc w:val="left"/>
      <w:pPr>
        <w:ind w:left="1440" w:hanging="360"/>
      </w:pPr>
    </w:lvl>
    <w:lvl w:ilvl="2" w:tplc="BBC613F0" w:tentative="1">
      <w:start w:val="1"/>
      <w:numFmt w:val="lowerRoman"/>
      <w:lvlText w:val="%3."/>
      <w:lvlJc w:val="right"/>
      <w:pPr>
        <w:ind w:left="2160" w:hanging="180"/>
      </w:pPr>
    </w:lvl>
    <w:lvl w:ilvl="3" w:tplc="5392959E" w:tentative="1">
      <w:start w:val="1"/>
      <w:numFmt w:val="decimal"/>
      <w:lvlText w:val="%4."/>
      <w:lvlJc w:val="left"/>
      <w:pPr>
        <w:ind w:left="2880" w:hanging="360"/>
      </w:pPr>
    </w:lvl>
    <w:lvl w:ilvl="4" w:tplc="7DEE9916" w:tentative="1">
      <w:start w:val="1"/>
      <w:numFmt w:val="lowerLetter"/>
      <w:lvlText w:val="%5."/>
      <w:lvlJc w:val="left"/>
      <w:pPr>
        <w:ind w:left="3600" w:hanging="360"/>
      </w:pPr>
    </w:lvl>
    <w:lvl w:ilvl="5" w:tplc="5E568A70" w:tentative="1">
      <w:start w:val="1"/>
      <w:numFmt w:val="lowerRoman"/>
      <w:lvlText w:val="%6."/>
      <w:lvlJc w:val="right"/>
      <w:pPr>
        <w:ind w:left="4320" w:hanging="180"/>
      </w:pPr>
    </w:lvl>
    <w:lvl w:ilvl="6" w:tplc="4CB07D78" w:tentative="1">
      <w:start w:val="1"/>
      <w:numFmt w:val="decimal"/>
      <w:lvlText w:val="%7."/>
      <w:lvlJc w:val="left"/>
      <w:pPr>
        <w:ind w:left="5040" w:hanging="360"/>
      </w:pPr>
    </w:lvl>
    <w:lvl w:ilvl="7" w:tplc="FE4AF3D6" w:tentative="1">
      <w:start w:val="1"/>
      <w:numFmt w:val="lowerLetter"/>
      <w:lvlText w:val="%8."/>
      <w:lvlJc w:val="left"/>
      <w:pPr>
        <w:ind w:left="5760" w:hanging="360"/>
      </w:pPr>
    </w:lvl>
    <w:lvl w:ilvl="8" w:tplc="241ED9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8022415C"/>
    <w:lvl w:ilvl="0" w:tplc="DF86B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AED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389037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BE1A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7E9A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DBD4CF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2CA4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4E2B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7CE35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F356EA4C"/>
    <w:lvl w:ilvl="0" w:tplc="FD22A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C053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C6F3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27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8811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2C0B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9882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873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70EE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64CE892E"/>
    <w:lvl w:ilvl="0" w:tplc="7564F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C4492A" w:tentative="1">
      <w:start w:val="1"/>
      <w:numFmt w:val="lowerLetter"/>
      <w:lvlText w:val="%2."/>
      <w:lvlJc w:val="left"/>
      <w:pPr>
        <w:ind w:left="1440" w:hanging="360"/>
      </w:pPr>
    </w:lvl>
    <w:lvl w:ilvl="2" w:tplc="65B65B5A" w:tentative="1">
      <w:start w:val="1"/>
      <w:numFmt w:val="lowerRoman"/>
      <w:lvlText w:val="%3."/>
      <w:lvlJc w:val="right"/>
      <w:pPr>
        <w:ind w:left="2160" w:hanging="180"/>
      </w:pPr>
    </w:lvl>
    <w:lvl w:ilvl="3" w:tplc="E29060F2" w:tentative="1">
      <w:start w:val="1"/>
      <w:numFmt w:val="decimal"/>
      <w:lvlText w:val="%4."/>
      <w:lvlJc w:val="left"/>
      <w:pPr>
        <w:ind w:left="2880" w:hanging="360"/>
      </w:pPr>
    </w:lvl>
    <w:lvl w:ilvl="4" w:tplc="C28049CC" w:tentative="1">
      <w:start w:val="1"/>
      <w:numFmt w:val="lowerLetter"/>
      <w:lvlText w:val="%5."/>
      <w:lvlJc w:val="left"/>
      <w:pPr>
        <w:ind w:left="3600" w:hanging="360"/>
      </w:pPr>
    </w:lvl>
    <w:lvl w:ilvl="5" w:tplc="85FC7710" w:tentative="1">
      <w:start w:val="1"/>
      <w:numFmt w:val="lowerRoman"/>
      <w:lvlText w:val="%6."/>
      <w:lvlJc w:val="right"/>
      <w:pPr>
        <w:ind w:left="4320" w:hanging="180"/>
      </w:pPr>
    </w:lvl>
    <w:lvl w:ilvl="6" w:tplc="018CC724" w:tentative="1">
      <w:start w:val="1"/>
      <w:numFmt w:val="decimal"/>
      <w:lvlText w:val="%7."/>
      <w:lvlJc w:val="left"/>
      <w:pPr>
        <w:ind w:left="5040" w:hanging="360"/>
      </w:pPr>
    </w:lvl>
    <w:lvl w:ilvl="7" w:tplc="384624F4" w:tentative="1">
      <w:start w:val="1"/>
      <w:numFmt w:val="lowerLetter"/>
      <w:lvlText w:val="%8."/>
      <w:lvlJc w:val="left"/>
      <w:pPr>
        <w:ind w:left="5760" w:hanging="360"/>
      </w:pPr>
    </w:lvl>
    <w:lvl w:ilvl="8" w:tplc="07000C2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23"/>
    <w:rsid w:val="003B2923"/>
    <w:rsid w:val="0075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400F"/>
    <w:pPr>
      <w:spacing w:after="0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A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AE2"/>
    <w:rPr>
      <w:rFonts w:ascii="Tahoma" w:hAnsi="Tahoma" w:cs="Tahoma"/>
      <w:sz w:val="16"/>
      <w:szCs w:val="16"/>
    </w:rPr>
  </w:style>
  <w:style w:type="paragraph" w:customStyle="1" w:styleId="Testoprede1">
    <w:name w:val="Testo prede:1"/>
    <w:basedOn w:val="Normale"/>
    <w:uiPriority w:val="99"/>
    <w:rsid w:val="00407256"/>
    <w:pPr>
      <w:spacing w:line="240" w:lineRule="auto"/>
    </w:pPr>
    <w:rPr>
      <w:rFonts w:ascii="Arial" w:eastAsiaTheme="minorEastAsia" w:hAnsi="Arial" w:cs="Arial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32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400F"/>
    <w:pPr>
      <w:spacing w:after="0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A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AE2"/>
    <w:rPr>
      <w:rFonts w:ascii="Tahoma" w:hAnsi="Tahoma" w:cs="Tahoma"/>
      <w:sz w:val="16"/>
      <w:szCs w:val="16"/>
    </w:rPr>
  </w:style>
  <w:style w:type="paragraph" w:customStyle="1" w:styleId="Testoprede1">
    <w:name w:val="Testo prede:1"/>
    <w:basedOn w:val="Normale"/>
    <w:uiPriority w:val="99"/>
    <w:rsid w:val="00407256"/>
    <w:pPr>
      <w:spacing w:line="240" w:lineRule="auto"/>
    </w:pPr>
    <w:rPr>
      <w:rFonts w:ascii="Arial" w:eastAsiaTheme="minorEastAsia" w:hAnsi="Arial" w:cs="Arial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32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Antolini</dc:creator>
  <cp:lastModifiedBy>utente</cp:lastModifiedBy>
  <cp:revision>2</cp:revision>
  <dcterms:created xsi:type="dcterms:W3CDTF">2022-03-16T15:50:00Z</dcterms:created>
  <dcterms:modified xsi:type="dcterms:W3CDTF">2022-03-16T15:50:00Z</dcterms:modified>
</cp:coreProperties>
</file>