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AE2" w:rsidRDefault="00715A7D">
      <w:bookmarkStart w:id="0" w:name="_GoBack"/>
      <w:bookmarkEnd w:id="0"/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8"/>
        <w:gridCol w:w="7840"/>
      </w:tblGrid>
      <w:tr w:rsidR="0078023A" w:rsidTr="00A56AE2">
        <w:trPr>
          <w:trHeight w:val="1878"/>
        </w:trPr>
        <w:tc>
          <w:tcPr>
            <w:tcW w:w="1809" w:type="dxa"/>
          </w:tcPr>
          <w:p w:rsidR="00A56AE2" w:rsidRDefault="00715A7D" w:rsidP="00A56AE2">
            <w:pPr>
              <w:widowControl w:val="0"/>
              <w:spacing w:before="120"/>
              <w:jc w:val="center"/>
              <w:rPr>
                <w:rFonts w:cs="Times New Roman"/>
                <w:b/>
                <w:sz w:val="36"/>
                <w:szCs w:val="36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742461" cy="978195"/>
                  <wp:effectExtent l="0" t="0" r="63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720" cy="978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69" w:type="dxa"/>
          </w:tcPr>
          <w:p w:rsidR="00A56AE2" w:rsidRDefault="00715A7D" w:rsidP="00A56AE2">
            <w:pPr>
              <w:widowControl w:val="0"/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>COMUNE DI CASTIGLIONE DEL LAGO</w:t>
            </w:r>
          </w:p>
          <w:p w:rsidR="00A56AE2" w:rsidRPr="00A56AE2" w:rsidRDefault="00715A7D" w:rsidP="00A56AE2">
            <w:pPr>
              <w:widowControl w:val="0"/>
              <w:jc w:val="center"/>
              <w:rPr>
                <w:rFonts w:cs="Times New Roman"/>
                <w:b/>
                <w:sz w:val="36"/>
                <w:szCs w:val="36"/>
              </w:rPr>
            </w:pPr>
          </w:p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A56AE2">
              <w:rPr>
                <w:rFonts w:cs="Times New Roman"/>
                <w:b/>
                <w:sz w:val="36"/>
                <w:szCs w:val="36"/>
              </w:rPr>
              <w:t>PROVINCIA DI PERUGIA</w:t>
            </w:r>
          </w:p>
          <w:p w:rsidR="00A56AE2" w:rsidRDefault="00715A7D" w:rsidP="00A56AE2">
            <w:pPr>
              <w:rPr>
                <w:rFonts w:cs="Times New Roman"/>
                <w:b/>
                <w:sz w:val="36"/>
                <w:szCs w:val="36"/>
              </w:rPr>
            </w:pPr>
          </w:p>
        </w:tc>
      </w:tr>
    </w:tbl>
    <w:p w:rsidR="00A56AE2" w:rsidRDefault="00715A7D" w:rsidP="00A56AE2">
      <w:pPr>
        <w:widowControl w:val="0"/>
        <w:tabs>
          <w:tab w:val="center" w:pos="4320"/>
          <w:tab w:val="right" w:pos="8640"/>
        </w:tabs>
        <w:jc w:val="center"/>
        <w:rPr>
          <w:rFonts w:cs="Times New Roman"/>
          <w:sz w:val="36"/>
          <w:szCs w:val="36"/>
        </w:rPr>
      </w:pPr>
    </w:p>
    <w:p w:rsidR="00A56AE2" w:rsidRDefault="00715A7D" w:rsidP="00A56AE2">
      <w:pPr>
        <w:jc w:val="center"/>
        <w:rPr>
          <w:b/>
          <w:bCs/>
        </w:rPr>
      </w:pPr>
      <w:r>
        <w:rPr>
          <w:b/>
          <w:bCs/>
        </w:rPr>
        <w:t>Deliberazione della Giunta Comunale</w:t>
      </w:r>
    </w:p>
    <w:p w:rsidR="00A56AE2" w:rsidRDefault="00715A7D" w:rsidP="00A56AE2">
      <w:pPr>
        <w:jc w:val="center"/>
        <w:rPr>
          <w:b/>
          <w:bCs/>
        </w:rPr>
      </w:pPr>
      <w:r>
        <w:rPr>
          <w:b/>
          <w:bCs/>
        </w:rPr>
        <w:t xml:space="preserve"> Numero </w:t>
      </w:r>
      <w:bookmarkStart w:id="1" w:name="numero"/>
      <w:r>
        <w:rPr>
          <w:b/>
          <w:bCs/>
        </w:rPr>
        <w:t>11</w:t>
      </w:r>
      <w:bookmarkEnd w:id="1"/>
      <w:r>
        <w:rPr>
          <w:b/>
          <w:bCs/>
        </w:rPr>
        <w:t xml:space="preserve"> del </w:t>
      </w:r>
      <w:bookmarkStart w:id="2" w:name="data"/>
      <w:r>
        <w:rPr>
          <w:b/>
          <w:bCs/>
        </w:rPr>
        <w:t>30/01/2020</w:t>
      </w:r>
      <w:bookmarkEnd w:id="2"/>
      <w:r>
        <w:rPr>
          <w:b/>
          <w:b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8023A" w:rsidTr="00A56AE2">
        <w:tc>
          <w:tcPr>
            <w:tcW w:w="9778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>
              <w:rPr>
                <w:rFonts w:cs="Times New Roman"/>
                <w:szCs w:val="36"/>
              </w:rPr>
              <w:t xml:space="preserve">Oggetto: </w:t>
            </w:r>
            <w:bookmarkStart w:id="3" w:name="oggett"/>
            <w:r>
              <w:rPr>
                <w:rFonts w:cs="Times New Roman"/>
                <w:szCs w:val="36"/>
              </w:rPr>
              <w:t xml:space="preserve">PIANO DELLA PERFORMANCE 2020-2022. DEFINIZIONE DEGLI OBIETTIVI IN VIGENZA DELL'ESERCIZIO PROVVISORIO </w:t>
            </w:r>
            <w:bookmarkEnd w:id="3"/>
            <w:r>
              <w:rPr>
                <w:rFonts w:cs="Times New Roman"/>
                <w:szCs w:val="36"/>
              </w:rPr>
              <w:t xml:space="preserve">  </w:t>
            </w:r>
          </w:p>
        </w:tc>
      </w:tr>
    </w:tbl>
    <w:p w:rsidR="00A56AE2" w:rsidRPr="00A56AE2" w:rsidRDefault="00715A7D" w:rsidP="00A56AE2">
      <w:pPr>
        <w:widowControl w:val="0"/>
        <w:tabs>
          <w:tab w:val="center" w:pos="4320"/>
          <w:tab w:val="right" w:pos="8640"/>
        </w:tabs>
        <w:jc w:val="center"/>
        <w:rPr>
          <w:rFonts w:cs="Times New Roman"/>
          <w:szCs w:val="36"/>
        </w:rPr>
      </w:pPr>
    </w:p>
    <w:p w:rsidR="00A56AE2" w:rsidRDefault="00715A7D" w:rsidP="00A56AE2">
      <w:pPr>
        <w:widowControl w:val="0"/>
        <w:tabs>
          <w:tab w:val="center" w:pos="4320"/>
          <w:tab w:val="right" w:pos="8640"/>
        </w:tabs>
        <w:rPr>
          <w:i/>
          <w:iCs/>
        </w:rPr>
      </w:pPr>
      <w:r>
        <w:rPr>
          <w:i/>
          <w:iCs/>
        </w:rPr>
        <w:t xml:space="preserve">L’anno </w:t>
      </w:r>
      <w:bookmarkStart w:id="4" w:name="anno_numero"/>
      <w:r>
        <w:rPr>
          <w:i/>
          <w:iCs/>
        </w:rPr>
        <w:t>2020</w:t>
      </w:r>
      <w:bookmarkEnd w:id="4"/>
      <w:r>
        <w:rPr>
          <w:i/>
          <w:iCs/>
        </w:rPr>
        <w:t xml:space="preserve"> il giorno </w:t>
      </w:r>
      <w:bookmarkStart w:id="5" w:name="giorno_numero"/>
      <w:r>
        <w:rPr>
          <w:i/>
          <w:iCs/>
        </w:rPr>
        <w:t>30</w:t>
      </w:r>
      <w:bookmarkEnd w:id="5"/>
      <w:r>
        <w:rPr>
          <w:i/>
          <w:iCs/>
        </w:rPr>
        <w:t xml:space="preserve"> del mese di </w:t>
      </w:r>
      <w:bookmarkStart w:id="6" w:name="mese_lettere"/>
      <w:r>
        <w:rPr>
          <w:i/>
          <w:iCs/>
        </w:rPr>
        <w:t>Gennaio</w:t>
      </w:r>
      <w:bookmarkEnd w:id="6"/>
      <w:r>
        <w:rPr>
          <w:i/>
          <w:iCs/>
        </w:rPr>
        <w:t xml:space="preserve"> alle ore </w:t>
      </w:r>
      <w:bookmarkStart w:id="7" w:name="ora"/>
      <w:r>
        <w:rPr>
          <w:i/>
          <w:iCs/>
        </w:rPr>
        <w:t>11:45</w:t>
      </w:r>
      <w:bookmarkEnd w:id="7"/>
      <w:r>
        <w:rPr>
          <w:i/>
          <w:iCs/>
        </w:rPr>
        <w:t>, in Castiglione del Lago nella Residenza Comunale a seguito di invito diramato dal Sindaco si è riunita la Giunta Comunale nelle persone dei Signori: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2"/>
        <w:gridCol w:w="3201"/>
        <w:gridCol w:w="3215"/>
      </w:tblGrid>
      <w:tr w:rsidR="0078023A" w:rsidTr="00A56AE2"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</w:p>
        </w:tc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</w:p>
        </w:tc>
        <w:tc>
          <w:tcPr>
            <w:tcW w:w="3260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Presente/Assente</w:t>
            </w:r>
          </w:p>
        </w:tc>
      </w:tr>
      <w:tr w:rsidR="0078023A" w:rsidTr="00A56AE2"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BURICO MATTEO</w:t>
            </w:r>
          </w:p>
        </w:tc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Sindaco</w:t>
            </w:r>
          </w:p>
        </w:tc>
        <w:tc>
          <w:tcPr>
            <w:tcW w:w="3260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78023A" w:rsidTr="00A56AE2"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SACCO</w:t>
            </w:r>
            <w:r w:rsidRPr="00A56AE2">
              <w:rPr>
                <w:rFonts w:cs="Times New Roman"/>
                <w:szCs w:val="36"/>
              </w:rPr>
              <w:t xml:space="preserve"> ANDREA</w:t>
            </w:r>
          </w:p>
        </w:tc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Giunta</w:t>
            </w:r>
          </w:p>
        </w:tc>
        <w:tc>
          <w:tcPr>
            <w:tcW w:w="3260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78023A" w:rsidTr="00A56AE2"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MENCARELLI MARINO</w:t>
            </w:r>
          </w:p>
        </w:tc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 Giunta</w:t>
            </w:r>
          </w:p>
        </w:tc>
        <w:tc>
          <w:tcPr>
            <w:tcW w:w="3260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78023A" w:rsidTr="00A56AE2"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DUCA FABIO</w:t>
            </w:r>
          </w:p>
        </w:tc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Giunta</w:t>
            </w:r>
          </w:p>
        </w:tc>
        <w:tc>
          <w:tcPr>
            <w:tcW w:w="3260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78023A" w:rsidTr="00A56AE2"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BRUNI ELISA</w:t>
            </w:r>
          </w:p>
        </w:tc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Giunta</w:t>
            </w:r>
          </w:p>
        </w:tc>
        <w:tc>
          <w:tcPr>
            <w:tcW w:w="3260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  <w:tr w:rsidR="0078023A" w:rsidTr="00A56AE2"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BACCI ALESSIO</w:t>
            </w:r>
          </w:p>
        </w:tc>
        <w:tc>
          <w:tcPr>
            <w:tcW w:w="3259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Componente della Giunta</w:t>
            </w:r>
          </w:p>
        </w:tc>
        <w:tc>
          <w:tcPr>
            <w:tcW w:w="3260" w:type="dxa"/>
          </w:tcPr>
          <w:p w:rsidR="00A56AE2" w:rsidRPr="00A56AE2" w:rsidRDefault="00715A7D" w:rsidP="00A56AE2">
            <w:pPr>
              <w:widowControl w:val="0"/>
              <w:tabs>
                <w:tab w:val="center" w:pos="4320"/>
                <w:tab w:val="right" w:pos="8640"/>
              </w:tabs>
              <w:rPr>
                <w:rFonts w:cs="Times New Roman"/>
                <w:szCs w:val="36"/>
              </w:rPr>
            </w:pPr>
            <w:r w:rsidRPr="00A56AE2">
              <w:rPr>
                <w:rFonts w:cs="Times New Roman"/>
                <w:szCs w:val="36"/>
              </w:rPr>
              <w:t>presente</w:t>
            </w:r>
          </w:p>
        </w:tc>
      </w:tr>
    </w:tbl>
    <w:p w:rsidR="00A56AE2" w:rsidRPr="00A56AE2" w:rsidRDefault="00715A7D" w:rsidP="00A56AE2">
      <w:pPr>
        <w:widowControl w:val="0"/>
        <w:tabs>
          <w:tab w:val="center" w:pos="4320"/>
          <w:tab w:val="right" w:pos="8640"/>
        </w:tabs>
        <w:rPr>
          <w:rFonts w:cs="Times New Roman"/>
          <w:szCs w:val="36"/>
        </w:rPr>
      </w:pPr>
    </w:p>
    <w:p w:rsidR="00A56AE2" w:rsidRDefault="00715A7D" w:rsidP="00A56AE2">
      <w:pPr>
        <w:widowControl w:val="0"/>
        <w:spacing w:after="0"/>
      </w:pPr>
      <w:r>
        <w:t xml:space="preserve">Riconosciuto che il numero dei presenti è legale, il </w:t>
      </w:r>
      <w:bookmarkStart w:id="8" w:name="titolo_pres"/>
      <w:r>
        <w:t>Sindaco</w:t>
      </w:r>
      <w:bookmarkEnd w:id="8"/>
      <w:r>
        <w:t xml:space="preserve">, </w:t>
      </w:r>
      <w:bookmarkStart w:id="9" w:name="firma_pres"/>
      <w:r>
        <w:t>Matteo Burico</w:t>
      </w:r>
      <w:bookmarkEnd w:id="9"/>
    </w:p>
    <w:p w:rsidR="00A56AE2" w:rsidRPr="00A56AE2" w:rsidRDefault="00715A7D" w:rsidP="00A56AE2">
      <w:pPr>
        <w:widowControl w:val="0"/>
        <w:tabs>
          <w:tab w:val="center" w:pos="4320"/>
          <w:tab w:val="right" w:pos="8640"/>
        </w:tabs>
        <w:spacing w:after="0"/>
        <w:rPr>
          <w:rFonts w:cs="Times New Roman"/>
          <w:szCs w:val="36"/>
        </w:rPr>
      </w:pPr>
      <w:r>
        <w:t xml:space="preserve">ha assunto la presidenza ed ha aperto la seduta alla quale assiste il </w:t>
      </w:r>
      <w:bookmarkStart w:id="10" w:name="titolo_assiste"/>
      <w:r>
        <w:t>Segretario</w:t>
      </w:r>
      <w:bookmarkEnd w:id="10"/>
      <w:r>
        <w:t xml:space="preserve"> </w:t>
      </w:r>
      <w:bookmarkStart w:id="11" w:name="firma_ass"/>
      <w:r>
        <w:t>Giuseppe Benedetti</w:t>
      </w:r>
      <w:bookmarkEnd w:id="11"/>
      <w:r>
        <w:t>.</w:t>
      </w:r>
    </w:p>
    <w:p w:rsidR="00A56AE2" w:rsidRPr="00A56AE2" w:rsidRDefault="00715A7D" w:rsidP="00A56AE2">
      <w:pPr>
        <w:widowControl w:val="0"/>
        <w:tabs>
          <w:tab w:val="center" w:pos="4320"/>
          <w:tab w:val="right" w:pos="8640"/>
        </w:tabs>
        <w:rPr>
          <w:rFonts w:cs="Times New Roman"/>
          <w:sz w:val="16"/>
          <w:szCs w:val="36"/>
        </w:rPr>
      </w:pPr>
    </w:p>
    <w:p w:rsidR="00A56AE2" w:rsidRDefault="00715A7D">
      <w:p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br w:type="page"/>
      </w:r>
    </w:p>
    <w:p w:rsidR="00F96167" w:rsidRDefault="00715A7D" w:rsidP="00F96167">
      <w:pPr>
        <w:widowControl w:val="0"/>
      </w:pPr>
      <w:bookmarkStart w:id="12" w:name="testo"/>
    </w:p>
    <w:p w:rsidR="00F96167" w:rsidRDefault="00715A7D" w:rsidP="00F96167">
      <w:pPr>
        <w:jc w:val="both"/>
      </w:pPr>
      <w:r w:rsidRPr="00950DA5">
        <w:rPr>
          <w:b/>
          <w:bCs/>
        </w:rPr>
        <w:t>Premesso</w:t>
      </w:r>
      <w:r>
        <w:t xml:space="preserve"> che con deliberazione di C.C. n. 24 del 30.04.2019 è stata approva</w:t>
      </w:r>
      <w:r>
        <w:t>ta la nota di aggiornamento del Documento Unico di Programmazione (DUP) 2019-2020-2021;</w:t>
      </w:r>
    </w:p>
    <w:p w:rsidR="00F96167" w:rsidRDefault="00715A7D" w:rsidP="00F96167">
      <w:pPr>
        <w:jc w:val="both"/>
      </w:pPr>
      <w:r w:rsidRPr="00ED3E82">
        <w:rPr>
          <w:b/>
          <w:bCs/>
        </w:rPr>
        <w:t>Che</w:t>
      </w:r>
      <w:r>
        <w:t xml:space="preserve"> con deliberazione di C.C. n. 25 del 30.04.2019 è stato approvato il Bilancio di Previsione 2019/2021; </w:t>
      </w:r>
    </w:p>
    <w:p w:rsidR="00F96167" w:rsidRDefault="00715A7D" w:rsidP="00F96167">
      <w:pPr>
        <w:jc w:val="both"/>
      </w:pPr>
      <w:r>
        <w:rPr>
          <w:b/>
          <w:bCs/>
        </w:rPr>
        <w:t>Richiamate</w:t>
      </w:r>
      <w:r>
        <w:t xml:space="preserve"> le deliberazioni di Giunta Comunale con le quali s</w:t>
      </w:r>
      <w:r>
        <w:t>ono state apportate variazioni al bilancio 2019-2021 ed al Peg 2019:</w:t>
      </w:r>
    </w:p>
    <w:p w:rsidR="00F96167" w:rsidRDefault="00715A7D" w:rsidP="00F96167">
      <w:pPr>
        <w:jc w:val="both"/>
      </w:pPr>
      <w:r w:rsidRPr="00B46016">
        <w:rPr>
          <w:b/>
          <w:bCs/>
        </w:rPr>
        <w:t>Visto</w:t>
      </w:r>
      <w:r>
        <w:t xml:space="preserve"> il D. Lgs. 25 maggio 2017, n. 74 “Modifiche al decreto legislativo 27 ottobre 2009, n. 150, in attuazione dell’articolo 17, comma 1, lettera r) della legge 7 agosto 2015 n. 124.” ch</w:t>
      </w:r>
      <w:r>
        <w:t>e rafforza la necessaria coerenza degli obiettivi strategici e operativi con gli obiettivi di bilancio, in coerenza con i documenti programmatici di cui alla normativa finanziaria ed economica degli enti locali;</w:t>
      </w:r>
    </w:p>
    <w:p w:rsidR="00F96167" w:rsidRPr="00AC3E28" w:rsidRDefault="00715A7D" w:rsidP="00F96167">
      <w:pPr>
        <w:autoSpaceDE w:val="0"/>
        <w:autoSpaceDN w:val="0"/>
        <w:adjustRightInd w:val="0"/>
        <w:spacing w:after="0" w:line="240" w:lineRule="auto"/>
        <w:jc w:val="both"/>
      </w:pPr>
      <w:r w:rsidRPr="00AC3E28">
        <w:rPr>
          <w:b/>
          <w:bCs/>
        </w:rPr>
        <w:t>Visto</w:t>
      </w:r>
      <w:r w:rsidRPr="00AC3E28">
        <w:t xml:space="preserve"> il decreto del Ministro dell'Interno d</w:t>
      </w:r>
      <w:r w:rsidRPr="00AC3E28">
        <w:t>el 13 dicembre 2019, pubblicato in Gazzetta ufficiale,Serie generale, n. 295 del 17 dicembre 2019, con il quale è stato differito al 31 marzo 2020</w:t>
      </w:r>
    </w:p>
    <w:p w:rsidR="00F96167" w:rsidRDefault="00715A7D" w:rsidP="00F96167">
      <w:pPr>
        <w:autoSpaceDE w:val="0"/>
        <w:autoSpaceDN w:val="0"/>
        <w:adjustRightInd w:val="0"/>
        <w:spacing w:after="0" w:line="240" w:lineRule="auto"/>
        <w:jc w:val="both"/>
      </w:pPr>
      <w:r w:rsidRPr="00AC3E28">
        <w:t>il termine per la deliberazione del bilancio di previsione 2020/2022 degli Enti Locali;</w:t>
      </w:r>
    </w:p>
    <w:p w:rsidR="00F96167" w:rsidRPr="00892021" w:rsidRDefault="00715A7D" w:rsidP="00F96167">
      <w:pPr>
        <w:autoSpaceDE w:val="0"/>
        <w:autoSpaceDN w:val="0"/>
        <w:adjustRightInd w:val="0"/>
        <w:spacing w:after="0" w:line="240" w:lineRule="auto"/>
        <w:jc w:val="both"/>
      </w:pPr>
    </w:p>
    <w:p w:rsidR="00F96167" w:rsidRDefault="00715A7D" w:rsidP="00F96167">
      <w:pPr>
        <w:jc w:val="both"/>
      </w:pPr>
      <w:r w:rsidRPr="00AB35C3">
        <w:rPr>
          <w:b/>
          <w:bCs/>
        </w:rPr>
        <w:t xml:space="preserve">Richiamato </w:t>
      </w:r>
      <w:r>
        <w:t>l’art. 16</w:t>
      </w:r>
      <w:r>
        <w:t xml:space="preserve">3 TUEL ed in particolare il comma 5) che recita: “nel corso dell’esercizio provvisorio, gli enti possono impegnare mensilmente, unitamente alla quota dei dodicesimi non utilizzati nei mesi precedenti, per ciascun programma, le spese di cui al comma 3, per </w:t>
      </w:r>
      <w:r>
        <w:t xml:space="preserve">importi non superiori ad un dodicesimo degli stanziamenti del secondo esercizio del bilancio di previsione deliberato l’anno precedente, ridotti delle somme già impegnate negli esercizi precedenti e dell’importo accantonato al fondo pluriennale vincolato, </w:t>
      </w:r>
      <w:r>
        <w:t>con esclusione….”</w:t>
      </w:r>
    </w:p>
    <w:p w:rsidR="00F96167" w:rsidRDefault="00715A7D" w:rsidP="00F96167">
      <w:pPr>
        <w:jc w:val="both"/>
      </w:pPr>
      <w:r w:rsidRPr="00B46016">
        <w:rPr>
          <w:b/>
          <w:bCs/>
        </w:rPr>
        <w:t>Esaminato</w:t>
      </w:r>
      <w:r>
        <w:t xml:space="preserve"> l’art. 5, comma 1-ter,  del  D. Lgs. 74/2017 che recita testualmente: “Nel caso di differimento del termine di adozione del bilancio di previsione degli enti territoriali, devono essere comunque definiti obiettivi specifici per </w:t>
      </w:r>
      <w:r>
        <w:t>consentire la continuità dell’azione amministrativa.”</w:t>
      </w:r>
    </w:p>
    <w:p w:rsidR="00F96167" w:rsidRDefault="00715A7D" w:rsidP="00F96167">
      <w:pPr>
        <w:pStyle w:val="Default"/>
        <w:jc w:val="both"/>
      </w:pPr>
      <w:r w:rsidRPr="0070592D">
        <w:rPr>
          <w:b/>
          <w:bCs/>
        </w:rPr>
        <w:t>Preso atto</w:t>
      </w:r>
      <w:r>
        <w:t xml:space="preserve"> delle seguenti  Deliberazioni di  Giunta Comunale: </w:t>
      </w:r>
    </w:p>
    <w:p w:rsidR="00F96167" w:rsidRDefault="00715A7D" w:rsidP="00F96167">
      <w:pPr>
        <w:pStyle w:val="Default"/>
        <w:jc w:val="both"/>
      </w:pPr>
    </w:p>
    <w:p w:rsidR="00F96167" w:rsidRDefault="00715A7D" w:rsidP="00F96167">
      <w:pPr>
        <w:pStyle w:val="Default"/>
        <w:numPr>
          <w:ilvl w:val="0"/>
          <w:numId w:val="3"/>
        </w:numPr>
        <w:jc w:val="both"/>
      </w:pPr>
      <w:r>
        <w:t>n 156 del 19.09.2019 avente ad oggetto: “Approvazione del Peg 2019  - Piano della Performance 2019/2021. Verifica stato di attuazione obie</w:t>
      </w:r>
      <w:r>
        <w:t>ttivi al 30.06.2019 e modifica e integrazione”;</w:t>
      </w:r>
    </w:p>
    <w:p w:rsidR="00F96167" w:rsidRDefault="00715A7D" w:rsidP="00F96167">
      <w:pPr>
        <w:pStyle w:val="Default"/>
        <w:ind w:left="360"/>
        <w:jc w:val="both"/>
      </w:pPr>
    </w:p>
    <w:p w:rsidR="00F96167" w:rsidRDefault="00715A7D" w:rsidP="00F96167">
      <w:pPr>
        <w:pStyle w:val="Default"/>
        <w:numPr>
          <w:ilvl w:val="0"/>
          <w:numId w:val="3"/>
        </w:numPr>
        <w:jc w:val="both"/>
      </w:pPr>
      <w:r>
        <w:t>n 160 del 26.09.2019 avente ad oggetto: “Ricognizione e approvazione della struttura organizzativa e della dotazione organica del personale comunale”;</w:t>
      </w:r>
    </w:p>
    <w:p w:rsidR="00F96167" w:rsidRDefault="00715A7D" w:rsidP="00F96167">
      <w:pPr>
        <w:pStyle w:val="Default"/>
        <w:jc w:val="both"/>
      </w:pPr>
    </w:p>
    <w:p w:rsidR="00F96167" w:rsidRDefault="00715A7D" w:rsidP="00F96167">
      <w:pPr>
        <w:pStyle w:val="Default"/>
        <w:numPr>
          <w:ilvl w:val="0"/>
          <w:numId w:val="3"/>
        </w:numPr>
        <w:jc w:val="both"/>
      </w:pPr>
      <w:r>
        <w:t xml:space="preserve">n 192 del 28.11.2019 avente ad oggetto: “Peg 2019  - </w:t>
      </w:r>
      <w:r>
        <w:t>Piano della Performance 2019/2021. Verifica stato di attuazione obiettivi al 31.10.2019 e modifica ed integrazione”;</w:t>
      </w:r>
    </w:p>
    <w:p w:rsidR="00F96167" w:rsidRPr="00AC3E28" w:rsidRDefault="00715A7D" w:rsidP="00F96167">
      <w:pPr>
        <w:pStyle w:val="Default"/>
        <w:jc w:val="both"/>
      </w:pPr>
    </w:p>
    <w:p w:rsidR="00F96167" w:rsidRDefault="00715A7D" w:rsidP="00F96167">
      <w:pPr>
        <w:pStyle w:val="Default"/>
        <w:jc w:val="both"/>
      </w:pPr>
      <w:r w:rsidRPr="00AC3E28">
        <w:rPr>
          <w:b/>
          <w:bCs/>
        </w:rPr>
        <w:t xml:space="preserve">Atteso </w:t>
      </w:r>
      <w:r w:rsidRPr="00AC3E28">
        <w:t xml:space="preserve">che gli obiettivi strategici ed operativi sono definiti in relazione ai bisogni della collettività, alle priorità politiche ed alle strategie dell’Ente, gli stessi devono essere definiti in modo specifico e misurabili in termini oggettivi e chiari, tenuto </w:t>
      </w:r>
      <w:r w:rsidRPr="00AC3E28">
        <w:t xml:space="preserve">conto della qualità e della quantità delle risorse finanziarie assegnate a ciascun titolare di P.O., delle risorse strumentali ed umane disponibili, oltre che essere riferiti ad un arco temporale determinato; </w:t>
      </w:r>
    </w:p>
    <w:p w:rsidR="00F96167" w:rsidRPr="00AC3E28" w:rsidRDefault="00715A7D" w:rsidP="00F96167">
      <w:pPr>
        <w:pStyle w:val="Default"/>
        <w:jc w:val="both"/>
      </w:pPr>
    </w:p>
    <w:p w:rsidR="00F96167" w:rsidRDefault="00715A7D" w:rsidP="00F96167">
      <w:pPr>
        <w:jc w:val="both"/>
      </w:pPr>
      <w:r>
        <w:rPr>
          <w:b/>
          <w:bCs/>
        </w:rPr>
        <w:t>Considerato</w:t>
      </w:r>
      <w:r>
        <w:t xml:space="preserve"> che questo Comune è in esercizio </w:t>
      </w:r>
      <w:r>
        <w:t>provvisorio;</w:t>
      </w:r>
    </w:p>
    <w:p w:rsidR="00F96167" w:rsidRDefault="00715A7D" w:rsidP="00F96167">
      <w:pPr>
        <w:jc w:val="both"/>
      </w:pPr>
      <w:r>
        <w:rPr>
          <w:b/>
          <w:bCs/>
        </w:rPr>
        <w:t xml:space="preserve">Ottemperando </w:t>
      </w:r>
      <w:r>
        <w:t>alla necessità di definire obiettivi specifici per consentire la continuità dell’azione amministrativa;</w:t>
      </w:r>
    </w:p>
    <w:p w:rsidR="00F96167" w:rsidRDefault="00715A7D" w:rsidP="00F96167">
      <w:pPr>
        <w:widowControl w:val="0"/>
        <w:tabs>
          <w:tab w:val="left" w:leader="dot" w:pos="4876"/>
        </w:tabs>
        <w:jc w:val="both"/>
        <w:rPr>
          <w:b/>
          <w:bCs/>
        </w:rPr>
      </w:pPr>
      <w:r>
        <w:rPr>
          <w:b/>
          <w:bCs/>
        </w:rPr>
        <w:lastRenderedPageBreak/>
        <w:t xml:space="preserve">Visto </w:t>
      </w:r>
      <w:r>
        <w:t>l’allegato parere in ordine alla regolarità tecnica espresso dal responsabile dell’Area, ai sensi dell’art.49 del D. lgs</w:t>
      </w:r>
      <w:r>
        <w:t>. n.267 del 18.8.2000, recante il Testo Unico sull’ordinamento degli Enti Locali;</w:t>
      </w:r>
    </w:p>
    <w:p w:rsidR="00F96167" w:rsidRDefault="00715A7D" w:rsidP="00F96167">
      <w:pPr>
        <w:widowControl w:val="0"/>
        <w:tabs>
          <w:tab w:val="left" w:leader="dot" w:pos="4876"/>
        </w:tabs>
        <w:jc w:val="both"/>
      </w:pPr>
      <w:r>
        <w:rPr>
          <w:b/>
          <w:bCs/>
        </w:rPr>
        <w:t>Visto</w:t>
      </w:r>
      <w:r>
        <w:t xml:space="preserve"> l’allegato parere in ordine alla regolarità contabile espresso dal Responsabile dell’Area  Finanziaria, ai sensi dell’art.49 del D. lgs. n.267 del 18.8.2000, recante il</w:t>
      </w:r>
      <w:r>
        <w:t xml:space="preserve"> Testo Unico sull’ordinamento degli Enti Locali;</w:t>
      </w:r>
    </w:p>
    <w:p w:rsidR="00F96167" w:rsidRDefault="00715A7D" w:rsidP="00F96167">
      <w:pPr>
        <w:widowControl w:val="0"/>
        <w:tabs>
          <w:tab w:val="left" w:leader="dot" w:pos="4876"/>
        </w:tabs>
        <w:jc w:val="both"/>
      </w:pPr>
      <w:r>
        <w:rPr>
          <w:b/>
          <w:bCs/>
        </w:rPr>
        <w:t>Con</w:t>
      </w:r>
      <w:r>
        <w:t xml:space="preserve"> voto unanime espresso nei modi e forme di legge;</w:t>
      </w:r>
    </w:p>
    <w:p w:rsidR="00F96167" w:rsidRDefault="00715A7D" w:rsidP="00F96167">
      <w:pPr>
        <w:widowControl w:val="0"/>
        <w:tabs>
          <w:tab w:val="left" w:leader="dot" w:pos="4876"/>
        </w:tabs>
        <w:jc w:val="both"/>
      </w:pPr>
    </w:p>
    <w:p w:rsidR="00F96167" w:rsidRDefault="00715A7D" w:rsidP="00F96167">
      <w:pPr>
        <w:widowControl w:val="0"/>
        <w:tabs>
          <w:tab w:val="left" w:leader="dot" w:pos="4876"/>
        </w:tabs>
        <w:jc w:val="center"/>
      </w:pPr>
      <w:r>
        <w:rPr>
          <w:b/>
          <w:bCs/>
        </w:rPr>
        <w:t>D E L I B E R A</w:t>
      </w:r>
    </w:p>
    <w:p w:rsidR="00F96167" w:rsidRDefault="00715A7D" w:rsidP="00F96167">
      <w:pPr>
        <w:widowControl w:val="0"/>
        <w:tabs>
          <w:tab w:val="left" w:leader="dot" w:pos="4876"/>
        </w:tabs>
        <w:jc w:val="both"/>
        <w:rPr>
          <w:b/>
          <w:bCs/>
        </w:rPr>
      </w:pPr>
    </w:p>
    <w:p w:rsidR="00F96167" w:rsidRDefault="00715A7D" w:rsidP="00F96167">
      <w:pPr>
        <w:jc w:val="both"/>
      </w:pPr>
      <w:r>
        <w:t>Per le motivazioni espresse in premessa che fanno parte integrante e sostanziale del presente provvedimento</w:t>
      </w:r>
    </w:p>
    <w:p w:rsidR="00F96167" w:rsidRDefault="00715A7D" w:rsidP="00F96167">
      <w:pPr>
        <w:numPr>
          <w:ilvl w:val="0"/>
          <w:numId w:val="1"/>
        </w:numPr>
        <w:spacing w:after="0" w:line="240" w:lineRule="auto"/>
        <w:ind w:left="360"/>
        <w:jc w:val="both"/>
      </w:pPr>
      <w:r w:rsidRPr="00AC3E28">
        <w:rPr>
          <w:b/>
          <w:bCs/>
        </w:rPr>
        <w:t>In vigenza di esercizio prov</w:t>
      </w:r>
      <w:r w:rsidRPr="00AC3E28">
        <w:rPr>
          <w:b/>
          <w:bCs/>
        </w:rPr>
        <w:t>visorio</w:t>
      </w:r>
      <w:r>
        <w:t>, nel rispetto di quanto previsto dall’art. 163 TUEL  per la gestione degli impegni di spesa, proseguiranno gli obiettivi pluriennali esecutivi fissati:</w:t>
      </w:r>
    </w:p>
    <w:p w:rsidR="00F96167" w:rsidRDefault="00715A7D" w:rsidP="00F96167">
      <w:pPr>
        <w:pStyle w:val="Default"/>
        <w:ind w:left="360"/>
        <w:jc w:val="both"/>
      </w:pPr>
      <w:r>
        <w:rPr>
          <w:b/>
          <w:bCs/>
        </w:rPr>
        <w:t xml:space="preserve">- </w:t>
      </w:r>
      <w:r>
        <w:t xml:space="preserve"> dalla deliberazione di G.C. n. 156 del 19.09.2019 avente ad oggetto: “Approvazione del Peg 20</w:t>
      </w:r>
      <w:r>
        <w:t>19  - Piano della Performance 2019/2021. Verifica stato di attuazione obiettivi al 30.06.2019 e modifica e integrazione”;</w:t>
      </w:r>
    </w:p>
    <w:p w:rsidR="00F96167" w:rsidRDefault="00715A7D" w:rsidP="00F96167">
      <w:pPr>
        <w:pStyle w:val="Default"/>
        <w:ind w:left="360"/>
        <w:jc w:val="both"/>
      </w:pPr>
      <w:r>
        <w:rPr>
          <w:b/>
          <w:bCs/>
        </w:rPr>
        <w:t>-</w:t>
      </w:r>
      <w:r>
        <w:t xml:space="preserve">  dalla deliberazione di G.C. n. 192 del 28.11.2019 avente ad oggetto: “Peg 2019  - Piano della Performance 2019/2021. Verifica stato</w:t>
      </w:r>
      <w:r>
        <w:t xml:space="preserve"> di attuazione obiettivi al 31.10.2019 e modifica ed integrazione”;</w:t>
      </w:r>
    </w:p>
    <w:p w:rsidR="00F96167" w:rsidRDefault="00715A7D" w:rsidP="00F96167">
      <w:pPr>
        <w:pStyle w:val="Default"/>
        <w:ind w:left="360"/>
        <w:jc w:val="both"/>
      </w:pPr>
      <w:r>
        <w:t>relativi ai titolari di Posizione Organizzativa, così come definiti e comunque risultanti  dall’ (All.A) - Obiettivi in vigenza esercizio provvisorio 2020”,  della presente delibera;</w:t>
      </w:r>
    </w:p>
    <w:p w:rsidR="00F96167" w:rsidRDefault="00715A7D" w:rsidP="00F96167">
      <w:pPr>
        <w:spacing w:after="0" w:line="240" w:lineRule="auto"/>
        <w:ind w:left="360"/>
        <w:jc w:val="both"/>
      </w:pPr>
    </w:p>
    <w:p w:rsidR="00F96167" w:rsidRDefault="00715A7D" w:rsidP="00F96167">
      <w:pPr>
        <w:numPr>
          <w:ilvl w:val="0"/>
          <w:numId w:val="1"/>
        </w:numPr>
        <w:spacing w:after="0" w:line="240" w:lineRule="auto"/>
        <w:jc w:val="both"/>
      </w:pPr>
      <w:r>
        <w:rPr>
          <w:b/>
          <w:bCs/>
        </w:rPr>
        <w:t xml:space="preserve">In attuazione  </w:t>
      </w:r>
      <w:r>
        <w:t>della deliberazione di Giunta Comunale n. 130 del 31.07.2019 avente ad oggetto: “Approvazione del documento unico di programmazione (DUP) 2020-2022”, in vigenza di esercizio provvisorio, tutte le Aree, così come individuate da ultimo con del</w:t>
      </w:r>
      <w:r>
        <w:t>iberazione di Giunta Comunale n. 160 del 26.09.2019 garantiscono la qualità e la quantità delle prestazioni e dei servizi erogati tenendo conto dei risultati conseguiti, documentati e validati dall’ultima relazione annuale sulla performance, nel rispetto d</w:t>
      </w:r>
      <w:r>
        <w:t>egli impegni realizzabili in dodicesimi e proporzionalmente al tempo di vigenza dell’esercizio provvisorio stesso;</w:t>
      </w:r>
    </w:p>
    <w:p w:rsidR="00F96167" w:rsidRPr="001202C3" w:rsidRDefault="00715A7D" w:rsidP="00F96167">
      <w:pPr>
        <w:spacing w:after="0" w:line="240" w:lineRule="auto"/>
        <w:ind w:left="360"/>
        <w:jc w:val="both"/>
      </w:pPr>
    </w:p>
    <w:p w:rsidR="00F96167" w:rsidRDefault="00715A7D" w:rsidP="00F96167">
      <w:pPr>
        <w:pStyle w:val="Paragrafoelenco"/>
        <w:numPr>
          <w:ilvl w:val="0"/>
          <w:numId w:val="2"/>
        </w:numPr>
        <w:spacing w:after="0" w:line="240" w:lineRule="auto"/>
        <w:contextualSpacing w:val="0"/>
      </w:pPr>
      <w:r w:rsidRPr="00AC3E28">
        <w:rPr>
          <w:b/>
          <w:bCs/>
        </w:rPr>
        <w:t>Di provvedere</w:t>
      </w:r>
      <w:r>
        <w:t xml:space="preserve"> alla pubblicazione della presente deliberazione sul Sito Istituzionale dell’Amministrazione Comunale;</w:t>
      </w:r>
    </w:p>
    <w:p w:rsidR="00F96167" w:rsidRDefault="00715A7D" w:rsidP="00F96167">
      <w:pPr>
        <w:ind w:left="360"/>
      </w:pPr>
    </w:p>
    <w:p w:rsidR="00F96167" w:rsidRDefault="00715A7D" w:rsidP="00F96167">
      <w:pPr>
        <w:numPr>
          <w:ilvl w:val="0"/>
          <w:numId w:val="2"/>
        </w:numPr>
        <w:spacing w:after="0" w:line="240" w:lineRule="auto"/>
      </w:pPr>
      <w:r w:rsidRPr="001202C3">
        <w:rPr>
          <w:b/>
          <w:bCs/>
        </w:rPr>
        <w:t>Di trasmettere</w:t>
      </w:r>
      <w:r>
        <w:t xml:space="preserve"> copia de</w:t>
      </w:r>
      <w:r>
        <w:t>lla presente deliberazione al Nucleo di Valutazione Associato.</w:t>
      </w:r>
    </w:p>
    <w:p w:rsidR="00F96167" w:rsidRDefault="00715A7D" w:rsidP="00F96167"/>
    <w:p w:rsidR="00F96167" w:rsidRDefault="00715A7D" w:rsidP="00F96167">
      <w:r>
        <w:t>Con voto unanime espresso nei modi e forme di legge, di dichiarare la presente deliberazione immediatamente eseguibile.</w:t>
      </w:r>
    </w:p>
    <w:p w:rsidR="00F96167" w:rsidRDefault="00715A7D" w:rsidP="00F96167"/>
    <w:p w:rsidR="00F96167" w:rsidRDefault="00715A7D" w:rsidP="00F96167">
      <w:pPr>
        <w:jc w:val="both"/>
      </w:pPr>
      <w:r>
        <w:t>.</w:t>
      </w:r>
    </w:p>
    <w:p w:rsidR="00F96167" w:rsidRDefault="00715A7D" w:rsidP="00F96167"/>
    <w:p w:rsidR="00F96167" w:rsidRDefault="00715A7D" w:rsidP="00F96167"/>
    <w:p w:rsidR="00F96167" w:rsidRDefault="00715A7D" w:rsidP="00F96167"/>
    <w:bookmarkEnd w:id="12"/>
    <w:p w:rsidR="00A56AE2" w:rsidRDefault="00715A7D" w:rsidP="00A56AE2">
      <w:r>
        <w:t xml:space="preserve">Letto e sottoscritto 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8023A" w:rsidTr="00A56AE2">
        <w:trPr>
          <w:jc w:val="center"/>
        </w:trPr>
        <w:tc>
          <w:tcPr>
            <w:tcW w:w="4889" w:type="dxa"/>
          </w:tcPr>
          <w:p w:rsidR="00A56AE2" w:rsidRDefault="00715A7D" w:rsidP="00A56AE2">
            <w:pPr>
              <w:jc w:val="center"/>
            </w:pPr>
            <w:r>
              <w:t xml:space="preserve"> Il </w:t>
            </w:r>
            <w:bookmarkStart w:id="13" w:name="titolo_presi"/>
            <w:r>
              <w:t>Sindaco</w:t>
            </w:r>
            <w:bookmarkEnd w:id="13"/>
            <w:r>
              <w:t xml:space="preserve"> </w:t>
            </w:r>
          </w:p>
        </w:tc>
        <w:tc>
          <w:tcPr>
            <w:tcW w:w="4889" w:type="dxa"/>
          </w:tcPr>
          <w:p w:rsidR="00A56AE2" w:rsidRDefault="00715A7D" w:rsidP="00A56AE2">
            <w:pPr>
              <w:jc w:val="center"/>
            </w:pPr>
            <w:r>
              <w:t xml:space="preserve"> Il </w:t>
            </w:r>
            <w:bookmarkStart w:id="14" w:name="titolo_assist"/>
            <w:r>
              <w:t>Segretario</w:t>
            </w:r>
            <w:bookmarkEnd w:id="14"/>
            <w:r>
              <w:t xml:space="preserve"> </w:t>
            </w:r>
          </w:p>
        </w:tc>
      </w:tr>
      <w:tr w:rsidR="0078023A" w:rsidTr="00A56AE2">
        <w:trPr>
          <w:jc w:val="center"/>
        </w:trPr>
        <w:tc>
          <w:tcPr>
            <w:tcW w:w="4889" w:type="dxa"/>
          </w:tcPr>
          <w:p w:rsidR="00A56AE2" w:rsidRDefault="00715A7D" w:rsidP="00A56AE2">
            <w:pPr>
              <w:jc w:val="center"/>
            </w:pPr>
            <w:r>
              <w:t xml:space="preserve"> </w:t>
            </w:r>
            <w:bookmarkStart w:id="15" w:name="firma_presid"/>
            <w:r>
              <w:t>Matteo Burico</w:t>
            </w:r>
            <w:bookmarkEnd w:id="15"/>
            <w:r>
              <w:t xml:space="preserve"> </w:t>
            </w:r>
          </w:p>
        </w:tc>
        <w:tc>
          <w:tcPr>
            <w:tcW w:w="4889" w:type="dxa"/>
          </w:tcPr>
          <w:p w:rsidR="00A56AE2" w:rsidRDefault="00715A7D" w:rsidP="00A56AE2">
            <w:pPr>
              <w:jc w:val="center"/>
            </w:pPr>
            <w:r>
              <w:t xml:space="preserve"> </w:t>
            </w:r>
            <w:bookmarkStart w:id="16" w:name="firma_assistent"/>
            <w:r>
              <w:t>Giuseppe Benedetti</w:t>
            </w:r>
            <w:bookmarkEnd w:id="16"/>
            <w:r>
              <w:t xml:space="preserve"> </w:t>
            </w:r>
          </w:p>
        </w:tc>
      </w:tr>
      <w:tr w:rsidR="0078023A" w:rsidTr="00A56AE2">
        <w:trPr>
          <w:jc w:val="center"/>
        </w:trPr>
        <w:tc>
          <w:tcPr>
            <w:tcW w:w="4889" w:type="dxa"/>
          </w:tcPr>
          <w:p w:rsidR="00CC0472" w:rsidRDefault="00715A7D" w:rsidP="00A56AE2">
            <w:pPr>
              <w:jc w:val="center"/>
            </w:pPr>
            <w:r>
              <w:t>Firmato Digitalmente</w:t>
            </w:r>
          </w:p>
        </w:tc>
        <w:tc>
          <w:tcPr>
            <w:tcW w:w="4889" w:type="dxa"/>
          </w:tcPr>
          <w:p w:rsidR="00CC0472" w:rsidRDefault="00715A7D" w:rsidP="00A56AE2">
            <w:pPr>
              <w:jc w:val="center"/>
            </w:pPr>
            <w:r>
              <w:t>Firmato Digitalmente</w:t>
            </w:r>
          </w:p>
        </w:tc>
      </w:tr>
    </w:tbl>
    <w:p w:rsidR="00A56AE2" w:rsidRPr="00A56AE2" w:rsidRDefault="00715A7D" w:rsidP="00A56AE2"/>
    <w:sectPr w:rsidR="00A56AE2" w:rsidRPr="00A56AE2" w:rsidSect="00A56AE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8CA052C6"/>
    <w:lvl w:ilvl="0" w:tplc="33FEE2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914485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B818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E892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4E2A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4E70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DCC4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E0C96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DE9B2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hybridMultilevel"/>
    <w:tmpl w:val="00306A6A"/>
    <w:lvl w:ilvl="0" w:tplc="2BCEF9B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2449B9A" w:tentative="1">
      <w:start w:val="1"/>
      <w:numFmt w:val="lowerLetter"/>
      <w:lvlText w:val="%2."/>
      <w:lvlJc w:val="left"/>
      <w:pPr>
        <w:ind w:left="1440" w:hanging="360"/>
      </w:pPr>
    </w:lvl>
    <w:lvl w:ilvl="2" w:tplc="0DCC98CE" w:tentative="1">
      <w:start w:val="1"/>
      <w:numFmt w:val="lowerRoman"/>
      <w:lvlText w:val="%3."/>
      <w:lvlJc w:val="right"/>
      <w:pPr>
        <w:ind w:left="2160" w:hanging="180"/>
      </w:pPr>
    </w:lvl>
    <w:lvl w:ilvl="3" w:tplc="B1489806" w:tentative="1">
      <w:start w:val="1"/>
      <w:numFmt w:val="decimal"/>
      <w:lvlText w:val="%4."/>
      <w:lvlJc w:val="left"/>
      <w:pPr>
        <w:ind w:left="2880" w:hanging="360"/>
      </w:pPr>
    </w:lvl>
    <w:lvl w:ilvl="4" w:tplc="C720A358" w:tentative="1">
      <w:start w:val="1"/>
      <w:numFmt w:val="lowerLetter"/>
      <w:lvlText w:val="%5."/>
      <w:lvlJc w:val="left"/>
      <w:pPr>
        <w:ind w:left="3600" w:hanging="360"/>
      </w:pPr>
    </w:lvl>
    <w:lvl w:ilvl="5" w:tplc="12B04502" w:tentative="1">
      <w:start w:val="1"/>
      <w:numFmt w:val="lowerRoman"/>
      <w:lvlText w:val="%6."/>
      <w:lvlJc w:val="right"/>
      <w:pPr>
        <w:ind w:left="4320" w:hanging="180"/>
      </w:pPr>
    </w:lvl>
    <w:lvl w:ilvl="6" w:tplc="C75A6AA6" w:tentative="1">
      <w:start w:val="1"/>
      <w:numFmt w:val="decimal"/>
      <w:lvlText w:val="%7."/>
      <w:lvlJc w:val="left"/>
      <w:pPr>
        <w:ind w:left="5040" w:hanging="360"/>
      </w:pPr>
    </w:lvl>
    <w:lvl w:ilvl="7" w:tplc="D00607E0" w:tentative="1">
      <w:start w:val="1"/>
      <w:numFmt w:val="lowerLetter"/>
      <w:lvlText w:val="%8."/>
      <w:lvlJc w:val="left"/>
      <w:pPr>
        <w:ind w:left="5760" w:hanging="360"/>
      </w:pPr>
    </w:lvl>
    <w:lvl w:ilvl="8" w:tplc="745C7C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BC1B87"/>
    <w:multiLevelType w:val="hybridMultilevel"/>
    <w:tmpl w:val="134A7658"/>
    <w:lvl w:ilvl="0" w:tplc="41EE9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3970FE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D05B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7AEBB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96E1D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B4BE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506E0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8D6E9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82B7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23A"/>
    <w:rsid w:val="00715A7D"/>
    <w:rsid w:val="0078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CDF737-1890-45EF-A582-9FB251E2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42F64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56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6AE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C3E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AC3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Antonella Antolini</dc:creator>
  <cp:lastModifiedBy>Graziella Pela</cp:lastModifiedBy>
  <cp:revision>2</cp:revision>
  <dcterms:created xsi:type="dcterms:W3CDTF">2021-05-31T10:27:00Z</dcterms:created>
  <dcterms:modified xsi:type="dcterms:W3CDTF">2021-05-31T10:27:00Z</dcterms:modified>
</cp:coreProperties>
</file>